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BBB9F">
      <w:pPr>
        <w:widowControl/>
        <w:jc w:val="center"/>
        <w:rPr>
          <w:rFonts w:ascii="宋体" w:hAnsi="宋体" w:eastAsia="宋体"/>
          <w:color w:val="000000" w:themeColor="text1"/>
          <w:sz w:val="36"/>
          <w:szCs w:val="36"/>
          <w:lang w:val="zh-CN"/>
          <w14:textFill>
            <w14:solidFill>
              <w14:schemeClr w14:val="tx1"/>
            </w14:solidFill>
          </w14:textFill>
        </w:rPr>
      </w:pPr>
      <w:r>
        <w:rPr>
          <w:rFonts w:hint="eastAsia" w:ascii="宋体" w:hAnsi="宋体" w:eastAsia="宋体"/>
          <w:color w:val="000000" w:themeColor="text1"/>
          <w:sz w:val="36"/>
          <w:szCs w:val="36"/>
          <w:lang w:val="zh-CN"/>
          <w14:textFill>
            <w14:solidFill>
              <w14:schemeClr w14:val="tx1"/>
            </w14:solidFill>
          </w14:textFill>
        </w:rPr>
        <w:t>报价单</w:t>
      </w:r>
    </w:p>
    <w:p w14:paraId="17B633B6">
      <w:pPr>
        <w:widowControl/>
        <w:jc w:val="center"/>
        <w:rPr>
          <w:rFonts w:ascii="宋体" w:hAnsi="宋体" w:eastAsia="宋体"/>
          <w:color w:val="000000" w:themeColor="text1"/>
          <w:sz w:val="36"/>
          <w:szCs w:val="36"/>
          <w:lang w:val="zh-CN"/>
          <w14:textFill>
            <w14:solidFill>
              <w14:schemeClr w14:val="tx1"/>
            </w14:solidFill>
          </w14:textFill>
        </w:rPr>
      </w:pPr>
    </w:p>
    <w:p w14:paraId="237AB52B">
      <w:pPr>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zh-CN"/>
          <w14:textFill>
            <w14:solidFill>
              <w14:schemeClr w14:val="tx1"/>
            </w14:solidFill>
          </w14:textFill>
        </w:rPr>
        <w:t>项目名称：</w:t>
      </w:r>
      <w:r>
        <w:rPr>
          <w:rFonts w:hint="eastAsia" w:ascii="宋体" w:hAnsi="宋体" w:eastAsia="宋体" w:cs="宋体"/>
          <w:color w:val="000000"/>
          <w:kern w:val="0"/>
          <w:sz w:val="28"/>
          <w:szCs w:val="28"/>
        </w:rPr>
        <w:t>内蒙古自治区赤峰市翁牛特旗铁力根台金多金属矿普查地质勘查项目钻探工程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3338"/>
        <w:gridCol w:w="2434"/>
      </w:tblGrid>
      <w:tr w14:paraId="340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Align w:val="center"/>
          </w:tcPr>
          <w:p w14:paraId="20D4DE1B">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孔深</w:t>
            </w:r>
          </w:p>
        </w:tc>
        <w:tc>
          <w:tcPr>
            <w:tcW w:w="2268" w:type="dxa"/>
            <w:vAlign w:val="center"/>
          </w:tcPr>
          <w:p w14:paraId="007D6C4A">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钻孔倾角</w:t>
            </w:r>
          </w:p>
        </w:tc>
        <w:tc>
          <w:tcPr>
            <w:tcW w:w="3338" w:type="dxa"/>
            <w:vAlign w:val="center"/>
          </w:tcPr>
          <w:p w14:paraId="0E419E69">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钻探单价（元/</w:t>
            </w:r>
            <w:r>
              <w:rPr>
                <w:rFonts w:ascii="宋体" w:hAnsi="宋体" w:eastAsia="宋体"/>
                <w:color w:val="000000" w:themeColor="text1"/>
                <w:sz w:val="24"/>
                <w:szCs w:val="24"/>
                <w:lang w:val="zh-CN"/>
                <w14:textFill>
                  <w14:solidFill>
                    <w14:schemeClr w14:val="tx1"/>
                  </w14:solidFill>
                </w14:textFill>
              </w:rPr>
              <w:t>m</w:t>
            </w:r>
            <w:r>
              <w:rPr>
                <w:rFonts w:hint="eastAsia" w:ascii="宋体" w:hAnsi="宋体" w:eastAsia="宋体"/>
                <w:color w:val="000000" w:themeColor="text1"/>
                <w:sz w:val="24"/>
                <w:szCs w:val="24"/>
                <w:lang w:val="zh-CN"/>
                <w14:textFill>
                  <w14:solidFill>
                    <w14:schemeClr w14:val="tx1"/>
                  </w14:solidFill>
                </w14:textFill>
              </w:rPr>
              <w:t>）</w:t>
            </w:r>
          </w:p>
        </w:tc>
        <w:tc>
          <w:tcPr>
            <w:tcW w:w="2434" w:type="dxa"/>
            <w:vAlign w:val="center"/>
          </w:tcPr>
          <w:p w14:paraId="6CD4C0EB">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备注</w:t>
            </w:r>
          </w:p>
        </w:tc>
      </w:tr>
      <w:tr w14:paraId="1202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96" w:type="dxa"/>
            <w:vAlign w:val="center"/>
          </w:tcPr>
          <w:p w14:paraId="552CE2D0">
            <w:pPr>
              <w:widowControl/>
              <w:jc w:val="center"/>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0</w:t>
            </w:r>
            <w:r>
              <w:rPr>
                <w:rFonts w:ascii="宋体" w:hAnsi="宋体" w:eastAsia="宋体"/>
                <w:color w:val="000000" w:themeColor="text1"/>
                <w:sz w:val="24"/>
                <w:szCs w:val="24"/>
                <w:lang w:val="zh-CN"/>
                <w14:textFill>
                  <w14:solidFill>
                    <w14:schemeClr w14:val="tx1"/>
                  </w14:solidFill>
                </w14:textFill>
              </w:rPr>
              <w:t>-500</w:t>
            </w:r>
            <w:r>
              <w:rPr>
                <w:rFonts w:hint="eastAsia" w:ascii="宋体" w:hAnsi="宋体" w:eastAsia="宋体"/>
                <w:color w:val="000000" w:themeColor="text1"/>
                <w:sz w:val="24"/>
                <w:szCs w:val="24"/>
                <w:lang w:val="zh-CN"/>
                <w14:textFill>
                  <w14:solidFill>
                    <w14:schemeClr w14:val="tx1"/>
                  </w14:solidFill>
                </w14:textFill>
              </w:rPr>
              <w:t>m</w:t>
            </w:r>
          </w:p>
        </w:tc>
        <w:tc>
          <w:tcPr>
            <w:tcW w:w="2268" w:type="dxa"/>
            <w:vMerge w:val="restart"/>
            <w:vAlign w:val="center"/>
          </w:tcPr>
          <w:p w14:paraId="15878ADE">
            <w:pPr>
              <w:widowControl/>
              <w:jc w:val="center"/>
              <w:rPr>
                <w:rFonts w:ascii="宋体" w:hAnsi="宋体" w:eastAsia="宋体"/>
                <w:color w:val="000000" w:themeColor="text1"/>
                <w:sz w:val="24"/>
                <w:szCs w:val="24"/>
                <w:lang w:val="zh-CN"/>
                <w14:textFill>
                  <w14:solidFill>
                    <w14:schemeClr w14:val="tx1"/>
                  </w14:solidFill>
                </w14:textFill>
              </w:rPr>
            </w:pPr>
            <w:r>
              <w:rPr>
                <w:rFonts w:ascii="宋体" w:hAnsi="宋体" w:eastAsia="宋体"/>
                <w:color w:val="000000" w:themeColor="text1"/>
                <w:sz w:val="24"/>
                <w:szCs w:val="24"/>
                <w:lang w:val="zh-CN"/>
                <w14:textFill>
                  <w14:solidFill>
                    <w14:schemeClr w14:val="tx1"/>
                  </w14:solidFill>
                </w14:textFill>
              </w:rPr>
              <w:t>70</w:t>
            </w:r>
            <w:r>
              <w:rPr>
                <w:rFonts w:hint="eastAsia" w:ascii="宋体" w:hAnsi="宋体" w:eastAsia="宋体"/>
                <w:color w:val="000000" w:themeColor="text1"/>
                <w:sz w:val="24"/>
                <w:szCs w:val="24"/>
                <w:lang w:val="zh-CN"/>
                <w14:textFill>
                  <w14:solidFill>
                    <w14:schemeClr w14:val="tx1"/>
                  </w14:solidFill>
                </w14:textFill>
              </w:rPr>
              <w:t>°≤倾角≤9</w:t>
            </w:r>
            <w:r>
              <w:rPr>
                <w:rFonts w:ascii="宋体" w:hAnsi="宋体" w:eastAsia="宋体"/>
                <w:color w:val="000000" w:themeColor="text1"/>
                <w:sz w:val="24"/>
                <w:szCs w:val="24"/>
                <w:lang w:val="zh-CN"/>
                <w14:textFill>
                  <w14:solidFill>
                    <w14:schemeClr w14:val="tx1"/>
                  </w14:solidFill>
                </w14:textFill>
              </w:rPr>
              <w:t>0</w:t>
            </w:r>
            <w:r>
              <w:rPr>
                <w:rFonts w:hint="eastAsia" w:ascii="宋体" w:hAnsi="宋体" w:eastAsia="宋体"/>
                <w:color w:val="000000" w:themeColor="text1"/>
                <w:sz w:val="24"/>
                <w:szCs w:val="24"/>
                <w:lang w:val="zh-CN"/>
                <w14:textFill>
                  <w14:solidFill>
                    <w14:schemeClr w14:val="tx1"/>
                  </w14:solidFill>
                </w14:textFill>
              </w:rPr>
              <w:t>°</w:t>
            </w:r>
          </w:p>
        </w:tc>
        <w:tc>
          <w:tcPr>
            <w:tcW w:w="3338" w:type="dxa"/>
            <w:vAlign w:val="center"/>
          </w:tcPr>
          <w:p w14:paraId="22CA8BE3">
            <w:pPr>
              <w:rPr>
                <w:rFonts w:ascii="宋体" w:hAnsi="宋体" w:eastAsia="宋体"/>
                <w:color w:val="000000" w:themeColor="text1"/>
                <w:sz w:val="24"/>
                <w:szCs w:val="24"/>
                <w:lang w:val="zh-CN"/>
                <w14:textFill>
                  <w14:solidFill>
                    <w14:schemeClr w14:val="tx1"/>
                  </w14:solidFill>
                </w14:textFill>
              </w:rPr>
            </w:pPr>
          </w:p>
        </w:tc>
        <w:tc>
          <w:tcPr>
            <w:tcW w:w="2434" w:type="dxa"/>
            <w:vMerge w:val="restart"/>
            <w:vAlign w:val="center"/>
          </w:tcPr>
          <w:p w14:paraId="7E21D8C9">
            <w:pPr>
              <w:widowControl/>
              <w:rPr>
                <w:rFonts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单价包含运输、安装、施工、场地复原、水、电、税费等全部费用。</w:t>
            </w:r>
          </w:p>
        </w:tc>
      </w:tr>
      <w:tr w14:paraId="23F3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96" w:type="dxa"/>
            <w:vAlign w:val="center"/>
          </w:tcPr>
          <w:p w14:paraId="7E3AD401">
            <w:pPr>
              <w:widowControl/>
              <w:jc w:val="center"/>
              <w:rPr>
                <w:rFonts w:hint="eastAsia"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0</w:t>
            </w:r>
            <w:r>
              <w:rPr>
                <w:rFonts w:ascii="宋体" w:hAnsi="宋体" w:eastAsia="宋体"/>
                <w:color w:val="000000" w:themeColor="text1"/>
                <w:sz w:val="24"/>
                <w:szCs w:val="24"/>
                <w:lang w:val="zh-CN"/>
                <w14:textFill>
                  <w14:solidFill>
                    <w14:schemeClr w14:val="tx1"/>
                  </w14:solidFill>
                </w14:textFill>
              </w:rPr>
              <w:t>-600</w:t>
            </w:r>
            <w:r>
              <w:rPr>
                <w:rFonts w:hint="eastAsia" w:ascii="宋体" w:hAnsi="宋体" w:eastAsia="宋体"/>
                <w:color w:val="000000" w:themeColor="text1"/>
                <w:sz w:val="24"/>
                <w:szCs w:val="24"/>
                <w:lang w:val="zh-CN"/>
                <w14:textFill>
                  <w14:solidFill>
                    <w14:schemeClr w14:val="tx1"/>
                  </w14:solidFill>
                </w14:textFill>
              </w:rPr>
              <w:t>m</w:t>
            </w:r>
          </w:p>
        </w:tc>
        <w:tc>
          <w:tcPr>
            <w:tcW w:w="2268" w:type="dxa"/>
            <w:vMerge w:val="continue"/>
            <w:vAlign w:val="center"/>
          </w:tcPr>
          <w:p w14:paraId="68EA3EC6">
            <w:pPr>
              <w:widowControl/>
              <w:jc w:val="center"/>
              <w:rPr>
                <w:rFonts w:ascii="宋体" w:hAnsi="宋体" w:eastAsia="宋体"/>
                <w:color w:val="000000" w:themeColor="text1"/>
                <w:sz w:val="24"/>
                <w:szCs w:val="24"/>
                <w:lang w:val="zh-CN"/>
                <w14:textFill>
                  <w14:solidFill>
                    <w14:schemeClr w14:val="tx1"/>
                  </w14:solidFill>
                </w14:textFill>
              </w:rPr>
            </w:pPr>
          </w:p>
        </w:tc>
        <w:tc>
          <w:tcPr>
            <w:tcW w:w="3338" w:type="dxa"/>
            <w:vAlign w:val="center"/>
          </w:tcPr>
          <w:p w14:paraId="01D61511">
            <w:pPr>
              <w:rPr>
                <w:rFonts w:ascii="宋体" w:hAnsi="宋体" w:eastAsia="宋体"/>
                <w:color w:val="000000" w:themeColor="text1"/>
                <w:sz w:val="24"/>
                <w:szCs w:val="24"/>
                <w:lang w:val="zh-CN"/>
                <w14:textFill>
                  <w14:solidFill>
                    <w14:schemeClr w14:val="tx1"/>
                  </w14:solidFill>
                </w14:textFill>
              </w:rPr>
            </w:pPr>
          </w:p>
        </w:tc>
        <w:tc>
          <w:tcPr>
            <w:tcW w:w="2434" w:type="dxa"/>
            <w:vMerge w:val="continue"/>
            <w:vAlign w:val="center"/>
          </w:tcPr>
          <w:p w14:paraId="1636DDCC">
            <w:pPr>
              <w:widowControl/>
              <w:rPr>
                <w:rFonts w:hint="eastAsia" w:ascii="宋体" w:hAnsi="宋体" w:eastAsia="宋体"/>
                <w:color w:val="000000" w:themeColor="text1"/>
                <w:sz w:val="24"/>
                <w:szCs w:val="24"/>
                <w:lang w:val="zh-CN"/>
                <w14:textFill>
                  <w14:solidFill>
                    <w14:schemeClr w14:val="tx1"/>
                  </w14:solidFill>
                </w14:textFill>
              </w:rPr>
            </w:pPr>
          </w:p>
        </w:tc>
      </w:tr>
      <w:tr w14:paraId="1B9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96" w:type="dxa"/>
            <w:vAlign w:val="center"/>
          </w:tcPr>
          <w:p w14:paraId="18BCB698">
            <w:pPr>
              <w:widowControl/>
              <w:jc w:val="center"/>
              <w:rPr>
                <w:rFonts w:hint="eastAsia"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0</w:t>
            </w:r>
            <w:r>
              <w:rPr>
                <w:rFonts w:ascii="宋体" w:hAnsi="宋体" w:eastAsia="宋体"/>
                <w:color w:val="000000" w:themeColor="text1"/>
                <w:sz w:val="24"/>
                <w:szCs w:val="24"/>
                <w:lang w:val="zh-CN"/>
                <w14:textFill>
                  <w14:solidFill>
                    <w14:schemeClr w14:val="tx1"/>
                  </w14:solidFill>
                </w14:textFill>
              </w:rPr>
              <w:t>-700</w:t>
            </w:r>
            <w:r>
              <w:rPr>
                <w:rFonts w:hint="eastAsia" w:ascii="宋体" w:hAnsi="宋体" w:eastAsia="宋体"/>
                <w:color w:val="000000" w:themeColor="text1"/>
                <w:sz w:val="24"/>
                <w:szCs w:val="24"/>
                <w:lang w:val="zh-CN"/>
                <w14:textFill>
                  <w14:solidFill>
                    <w14:schemeClr w14:val="tx1"/>
                  </w14:solidFill>
                </w14:textFill>
              </w:rPr>
              <w:t>m</w:t>
            </w:r>
          </w:p>
        </w:tc>
        <w:tc>
          <w:tcPr>
            <w:tcW w:w="2268" w:type="dxa"/>
            <w:vMerge w:val="continue"/>
            <w:vAlign w:val="center"/>
          </w:tcPr>
          <w:p w14:paraId="3A22AD80">
            <w:pPr>
              <w:widowControl/>
              <w:jc w:val="center"/>
              <w:rPr>
                <w:rFonts w:ascii="宋体" w:hAnsi="宋体" w:eastAsia="宋体"/>
                <w:color w:val="000000" w:themeColor="text1"/>
                <w:sz w:val="24"/>
                <w:szCs w:val="24"/>
                <w:lang w:val="zh-CN"/>
                <w14:textFill>
                  <w14:solidFill>
                    <w14:schemeClr w14:val="tx1"/>
                  </w14:solidFill>
                </w14:textFill>
              </w:rPr>
            </w:pPr>
          </w:p>
        </w:tc>
        <w:tc>
          <w:tcPr>
            <w:tcW w:w="3338" w:type="dxa"/>
            <w:vAlign w:val="center"/>
          </w:tcPr>
          <w:p w14:paraId="6447FF28">
            <w:pPr>
              <w:rPr>
                <w:rFonts w:ascii="宋体" w:hAnsi="宋体" w:eastAsia="宋体"/>
                <w:color w:val="000000" w:themeColor="text1"/>
                <w:sz w:val="24"/>
                <w:szCs w:val="24"/>
                <w:lang w:val="zh-CN"/>
                <w14:textFill>
                  <w14:solidFill>
                    <w14:schemeClr w14:val="tx1"/>
                  </w14:solidFill>
                </w14:textFill>
              </w:rPr>
            </w:pPr>
          </w:p>
        </w:tc>
        <w:tc>
          <w:tcPr>
            <w:tcW w:w="2434" w:type="dxa"/>
            <w:vMerge w:val="continue"/>
            <w:vAlign w:val="center"/>
          </w:tcPr>
          <w:p w14:paraId="6F55E843">
            <w:pPr>
              <w:widowControl/>
              <w:rPr>
                <w:rFonts w:hint="eastAsia" w:ascii="宋体" w:hAnsi="宋体" w:eastAsia="宋体"/>
                <w:color w:val="000000" w:themeColor="text1"/>
                <w:sz w:val="24"/>
                <w:szCs w:val="24"/>
                <w:lang w:val="zh-CN"/>
                <w14:textFill>
                  <w14:solidFill>
                    <w14:schemeClr w14:val="tx1"/>
                  </w14:solidFill>
                </w14:textFill>
              </w:rPr>
            </w:pPr>
          </w:p>
        </w:tc>
      </w:tr>
      <w:tr w14:paraId="1EAD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96" w:type="dxa"/>
            <w:vAlign w:val="center"/>
          </w:tcPr>
          <w:p w14:paraId="6C6AEB6F">
            <w:pPr>
              <w:widowControl/>
              <w:jc w:val="center"/>
              <w:rPr>
                <w:rFonts w:hint="eastAsia"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0</w:t>
            </w:r>
            <w:r>
              <w:rPr>
                <w:rFonts w:ascii="宋体" w:hAnsi="宋体" w:eastAsia="宋体"/>
                <w:color w:val="000000" w:themeColor="text1"/>
                <w:sz w:val="24"/>
                <w:szCs w:val="24"/>
                <w:lang w:val="zh-CN"/>
                <w14:textFill>
                  <w14:solidFill>
                    <w14:schemeClr w14:val="tx1"/>
                  </w14:solidFill>
                </w14:textFill>
              </w:rPr>
              <w:t>-800</w:t>
            </w:r>
            <w:r>
              <w:rPr>
                <w:rFonts w:hint="eastAsia" w:ascii="宋体" w:hAnsi="宋体" w:eastAsia="宋体"/>
                <w:color w:val="000000" w:themeColor="text1"/>
                <w:sz w:val="24"/>
                <w:szCs w:val="24"/>
                <w:lang w:val="zh-CN"/>
                <w14:textFill>
                  <w14:solidFill>
                    <w14:schemeClr w14:val="tx1"/>
                  </w14:solidFill>
                </w14:textFill>
              </w:rPr>
              <w:t>m</w:t>
            </w:r>
          </w:p>
        </w:tc>
        <w:tc>
          <w:tcPr>
            <w:tcW w:w="2268" w:type="dxa"/>
            <w:vMerge w:val="continue"/>
            <w:vAlign w:val="center"/>
          </w:tcPr>
          <w:p w14:paraId="5DCE80EB">
            <w:pPr>
              <w:widowControl/>
              <w:jc w:val="center"/>
              <w:rPr>
                <w:rFonts w:ascii="宋体" w:hAnsi="宋体" w:eastAsia="宋体"/>
                <w:color w:val="000000" w:themeColor="text1"/>
                <w:sz w:val="24"/>
                <w:szCs w:val="24"/>
                <w:lang w:val="zh-CN"/>
                <w14:textFill>
                  <w14:solidFill>
                    <w14:schemeClr w14:val="tx1"/>
                  </w14:solidFill>
                </w14:textFill>
              </w:rPr>
            </w:pPr>
          </w:p>
        </w:tc>
        <w:tc>
          <w:tcPr>
            <w:tcW w:w="3338" w:type="dxa"/>
            <w:vAlign w:val="center"/>
          </w:tcPr>
          <w:p w14:paraId="37FF9A8B">
            <w:pPr>
              <w:rPr>
                <w:rFonts w:ascii="宋体" w:hAnsi="宋体" w:eastAsia="宋体"/>
                <w:color w:val="000000" w:themeColor="text1"/>
                <w:sz w:val="24"/>
                <w:szCs w:val="24"/>
                <w:lang w:val="zh-CN"/>
                <w14:textFill>
                  <w14:solidFill>
                    <w14:schemeClr w14:val="tx1"/>
                  </w14:solidFill>
                </w14:textFill>
              </w:rPr>
            </w:pPr>
          </w:p>
        </w:tc>
        <w:tc>
          <w:tcPr>
            <w:tcW w:w="2434" w:type="dxa"/>
            <w:vMerge w:val="continue"/>
            <w:vAlign w:val="center"/>
          </w:tcPr>
          <w:p w14:paraId="56FC669E">
            <w:pPr>
              <w:widowControl/>
              <w:rPr>
                <w:rFonts w:hint="eastAsia" w:ascii="宋体" w:hAnsi="宋体" w:eastAsia="宋体"/>
                <w:color w:val="000000" w:themeColor="text1"/>
                <w:sz w:val="24"/>
                <w:szCs w:val="24"/>
                <w:lang w:val="zh-CN"/>
                <w14:textFill>
                  <w14:solidFill>
                    <w14:schemeClr w14:val="tx1"/>
                  </w14:solidFill>
                </w14:textFill>
              </w:rPr>
            </w:pPr>
          </w:p>
        </w:tc>
      </w:tr>
      <w:tr w14:paraId="0142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696" w:type="dxa"/>
            <w:vAlign w:val="center"/>
          </w:tcPr>
          <w:p w14:paraId="60D98C17">
            <w:pPr>
              <w:widowControl/>
              <w:jc w:val="center"/>
              <w:rPr>
                <w:rFonts w:hint="eastAsia"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0</w:t>
            </w:r>
            <w:r>
              <w:rPr>
                <w:rFonts w:ascii="宋体" w:hAnsi="宋体" w:eastAsia="宋体"/>
                <w:color w:val="000000" w:themeColor="text1"/>
                <w:sz w:val="24"/>
                <w:szCs w:val="24"/>
                <w:lang w:val="zh-CN"/>
                <w14:textFill>
                  <w14:solidFill>
                    <w14:schemeClr w14:val="tx1"/>
                  </w14:solidFill>
                </w14:textFill>
              </w:rPr>
              <w:t>-900</w:t>
            </w:r>
            <w:r>
              <w:rPr>
                <w:rFonts w:hint="eastAsia" w:ascii="宋体" w:hAnsi="宋体" w:eastAsia="宋体"/>
                <w:color w:val="000000" w:themeColor="text1"/>
                <w:sz w:val="24"/>
                <w:szCs w:val="24"/>
                <w:lang w:val="zh-CN"/>
                <w14:textFill>
                  <w14:solidFill>
                    <w14:schemeClr w14:val="tx1"/>
                  </w14:solidFill>
                </w14:textFill>
              </w:rPr>
              <w:t>m</w:t>
            </w:r>
          </w:p>
        </w:tc>
        <w:tc>
          <w:tcPr>
            <w:tcW w:w="2268" w:type="dxa"/>
            <w:vMerge w:val="continue"/>
            <w:vAlign w:val="center"/>
          </w:tcPr>
          <w:p w14:paraId="27A4059F">
            <w:pPr>
              <w:widowControl/>
              <w:jc w:val="center"/>
              <w:rPr>
                <w:rFonts w:ascii="宋体" w:hAnsi="宋体" w:eastAsia="宋体"/>
                <w:color w:val="000000" w:themeColor="text1"/>
                <w:sz w:val="24"/>
                <w:szCs w:val="24"/>
                <w:lang w:val="zh-CN"/>
                <w14:textFill>
                  <w14:solidFill>
                    <w14:schemeClr w14:val="tx1"/>
                  </w14:solidFill>
                </w14:textFill>
              </w:rPr>
            </w:pPr>
          </w:p>
        </w:tc>
        <w:tc>
          <w:tcPr>
            <w:tcW w:w="3338" w:type="dxa"/>
            <w:vAlign w:val="center"/>
          </w:tcPr>
          <w:p w14:paraId="657E062E">
            <w:pPr>
              <w:rPr>
                <w:rFonts w:ascii="宋体" w:hAnsi="宋体" w:eastAsia="宋体"/>
                <w:color w:val="000000" w:themeColor="text1"/>
                <w:sz w:val="24"/>
                <w:szCs w:val="24"/>
                <w:lang w:val="zh-CN"/>
                <w14:textFill>
                  <w14:solidFill>
                    <w14:schemeClr w14:val="tx1"/>
                  </w14:solidFill>
                </w14:textFill>
              </w:rPr>
            </w:pPr>
          </w:p>
        </w:tc>
        <w:tc>
          <w:tcPr>
            <w:tcW w:w="2434" w:type="dxa"/>
            <w:vMerge w:val="continue"/>
            <w:vAlign w:val="center"/>
          </w:tcPr>
          <w:p w14:paraId="70C22BED">
            <w:pPr>
              <w:widowControl/>
              <w:rPr>
                <w:rFonts w:hint="eastAsia" w:ascii="宋体" w:hAnsi="宋体" w:eastAsia="宋体"/>
                <w:color w:val="000000" w:themeColor="text1"/>
                <w:sz w:val="24"/>
                <w:szCs w:val="24"/>
                <w:lang w:val="zh-CN"/>
                <w14:textFill>
                  <w14:solidFill>
                    <w14:schemeClr w14:val="tx1"/>
                  </w14:solidFill>
                </w14:textFill>
              </w:rPr>
            </w:pPr>
          </w:p>
        </w:tc>
      </w:tr>
      <w:tr w14:paraId="7A44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9736" w:type="dxa"/>
            <w:gridSpan w:val="4"/>
            <w:vAlign w:val="center"/>
          </w:tcPr>
          <w:p w14:paraId="360EC85A">
            <w:pPr>
              <w:widowControl/>
              <w:rPr>
                <w:rFonts w:hint="eastAsia" w:ascii="宋体" w:hAnsi="宋体" w:eastAsia="宋体"/>
                <w:color w:val="000000" w:themeColor="text1"/>
                <w:sz w:val="24"/>
                <w:szCs w:val="24"/>
                <w:lang w:val="zh-CN"/>
                <w14:textFill>
                  <w14:solidFill>
                    <w14:schemeClr w14:val="tx1"/>
                  </w14:solidFill>
                </w14:textFill>
              </w:rPr>
            </w:pPr>
            <w:r>
              <w:rPr>
                <w:rFonts w:hint="eastAsia" w:ascii="宋体" w:hAnsi="宋体" w:eastAsia="宋体"/>
                <w:color w:val="000000" w:themeColor="text1"/>
                <w:sz w:val="24"/>
                <w:szCs w:val="24"/>
                <w:lang w:val="zh-CN"/>
                <w14:textFill>
                  <w14:solidFill>
                    <w14:schemeClr w14:val="tx1"/>
                  </w14:solidFill>
                </w14:textFill>
              </w:rPr>
              <w:t>钻孔孔深段不超过该孔深段</w:t>
            </w:r>
            <w:r>
              <w:rPr>
                <w:rFonts w:ascii="宋体" w:hAnsi="宋体" w:eastAsia="宋体"/>
                <w:color w:val="000000" w:themeColor="text1"/>
                <w:sz w:val="24"/>
                <w:szCs w:val="24"/>
                <w:lang w:val="zh-CN"/>
                <w14:textFill>
                  <w14:solidFill>
                    <w14:schemeClr w14:val="tx1"/>
                  </w14:solidFill>
                </w14:textFill>
              </w:rPr>
              <w:t>10米的,按上一个孔深段单价结算,例如:孔深小于等于510m的钻孔，按0-500m计价。</w:t>
            </w:r>
          </w:p>
        </w:tc>
      </w:tr>
    </w:tbl>
    <w:p w14:paraId="2A92E681">
      <w:pPr>
        <w:widowControl/>
        <w:ind w:firstLine="560"/>
        <w:rPr>
          <w:rFonts w:ascii="宋体" w:hAnsi="宋体" w:eastAsia="宋体"/>
          <w:color w:val="000000" w:themeColor="text1"/>
          <w:szCs w:val="28"/>
          <w:lang w:val="zh-CN"/>
          <w14:textFill>
            <w14:solidFill>
              <w14:schemeClr w14:val="tx1"/>
            </w14:solidFill>
          </w14:textFill>
        </w:rPr>
      </w:pPr>
    </w:p>
    <w:p w14:paraId="3A9EA19F">
      <w:pPr>
        <w:widowControl/>
        <w:ind w:firstLine="560"/>
        <w:rPr>
          <w:rFonts w:ascii="宋体" w:hAnsi="宋体" w:eastAsia="宋体"/>
          <w:color w:val="000000" w:themeColor="text1"/>
          <w:szCs w:val="28"/>
          <w:lang w:val="zh-CN"/>
          <w14:textFill>
            <w14:solidFill>
              <w14:schemeClr w14:val="tx1"/>
            </w14:solidFill>
          </w14:textFill>
        </w:rPr>
      </w:pPr>
    </w:p>
    <w:p w14:paraId="10FAF6DB">
      <w:pPr>
        <w:widowControl/>
        <w:ind w:left="3220"/>
        <w:rPr>
          <w:rFonts w:ascii="宋体" w:hAnsi="宋体" w:eastAsia="宋体"/>
          <w:color w:val="000000" w:themeColor="text1"/>
          <w:sz w:val="28"/>
          <w:szCs w:val="28"/>
          <w:lang w:val="zh-CN"/>
          <w14:textFill>
            <w14:solidFill>
              <w14:schemeClr w14:val="tx1"/>
            </w14:solidFill>
          </w14:textFill>
        </w:rPr>
      </w:pPr>
      <w:r>
        <w:rPr>
          <w:rFonts w:hint="eastAsia" w:ascii="宋体" w:hAnsi="宋体" w:eastAsia="宋体"/>
          <w:color w:val="000000" w:themeColor="text1"/>
          <w:sz w:val="28"/>
          <w:szCs w:val="28"/>
          <w:lang w:val="zh-CN"/>
          <w14:textFill>
            <w14:solidFill>
              <w14:schemeClr w14:val="tx1"/>
            </w14:solidFill>
          </w14:textFill>
        </w:rPr>
        <w:t>供应商名称（盖章）：</w:t>
      </w:r>
    </w:p>
    <w:p w14:paraId="08606E0E">
      <w:pPr>
        <w:widowControl/>
        <w:ind w:left="3220"/>
        <w:rPr>
          <w:rFonts w:ascii="宋体" w:hAnsi="宋体" w:eastAsia="宋体"/>
          <w:color w:val="000000" w:themeColor="text1"/>
          <w:sz w:val="28"/>
          <w:szCs w:val="28"/>
          <w:lang w:val="zh-CN"/>
          <w14:textFill>
            <w14:solidFill>
              <w14:schemeClr w14:val="tx1"/>
            </w14:solidFill>
          </w14:textFill>
        </w:rPr>
      </w:pPr>
    </w:p>
    <w:p w14:paraId="2FA060AE">
      <w:pPr>
        <w:widowControl/>
        <w:ind w:left="3220"/>
        <w:rPr>
          <w:rFonts w:ascii="宋体" w:hAnsi="宋体" w:eastAsia="宋体"/>
        </w:rPr>
      </w:pPr>
      <w:r>
        <w:rPr>
          <w:rFonts w:hint="eastAsia" w:ascii="宋体" w:hAnsi="宋体" w:eastAsia="宋体"/>
          <w:color w:val="000000" w:themeColor="text1"/>
          <w:sz w:val="28"/>
          <w:szCs w:val="28"/>
          <w:lang w:val="zh-CN"/>
          <w14:textFill>
            <w14:solidFill>
              <w14:schemeClr w14:val="tx1"/>
            </w14:solidFill>
          </w14:textFill>
        </w:rPr>
        <w:t>日期：</w:t>
      </w:r>
      <w:r>
        <w:rPr>
          <w:rFonts w:ascii="宋体" w:hAnsi="宋体" w:eastAsia="宋体"/>
          <w:color w:val="000000" w:themeColor="text1"/>
          <w:sz w:val="28"/>
          <w:szCs w:val="28"/>
          <w:lang w:val="zh-CN"/>
          <w14:textFill>
            <w14:solidFill>
              <w14:schemeClr w14:val="tx1"/>
            </w14:solidFill>
          </w14:textFill>
        </w:rPr>
        <w:t xml:space="preserve"> </w:t>
      </w:r>
    </w:p>
    <w:p w14:paraId="4B1C38AE">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jU3ODExOTdiY2M1ZTY2NmFiMDk4Y2RkODIxMmYifQ=="/>
  </w:docVars>
  <w:rsids>
    <w:rsidRoot w:val="412F55FC"/>
    <w:rsid w:val="412F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2024-08-21T02:57:00Z</dcterms:created>
  <dc:creator>S   .</dc:creator>
  <cp:lastModifiedBy>S   .</cp:lastModifiedBy>
  <dcterms:modified xsi:type="dcterms:W3CDTF">2024-08-21T02:57:44Z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6BB460C799364AF087CD7A38E1A09056_11</vt:lpwstr>
  </property>
</Properties>
</file>