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 w:hAnsi="仿宋" w:cs="仿宋"/>
          <w:b/>
          <w:bCs/>
          <w:sz w:val="32"/>
          <w:szCs w:val="32"/>
        </w:rPr>
      </w:pPr>
      <w:bookmarkStart w:id="796" w:name="_GoBack"/>
      <w:bookmarkEnd w:id="796"/>
    </w:p>
    <w:p>
      <w:pPr>
        <w:spacing w:line="500" w:lineRule="exact"/>
        <w:ind w:firstLine="883"/>
        <w:jc w:val="center"/>
        <w:outlineLvl w:val="0"/>
        <w:rPr>
          <w:rFonts w:ascii="仿宋" w:hAnsi="仿宋" w:cs="仿宋"/>
          <w:b/>
          <w:sz w:val="44"/>
          <w:szCs w:val="44"/>
        </w:rPr>
      </w:pPr>
    </w:p>
    <w:p>
      <w:pPr>
        <w:spacing w:line="800" w:lineRule="exact"/>
        <w:ind w:firstLine="0" w:firstLineChars="0"/>
        <w:jc w:val="center"/>
        <w:rPr>
          <w:rFonts w:ascii="仿宋" w:hAnsi="仿宋" w:cs="仿宋"/>
          <w:b/>
          <w:sz w:val="48"/>
          <w:szCs w:val="48"/>
        </w:rPr>
      </w:pPr>
      <w:bookmarkStart w:id="0" w:name="_Toc152042294"/>
      <w:bookmarkStart w:id="1" w:name="_Toc152045518"/>
      <w:bookmarkStart w:id="2" w:name="_Toc179632535"/>
      <w:bookmarkStart w:id="3" w:name="_Toc144974486"/>
      <w:bookmarkStart w:id="4" w:name="_Toc247085679"/>
      <w:bookmarkStart w:id="5" w:name="_Toc246996165"/>
      <w:bookmarkStart w:id="6" w:name="_Toc246996908"/>
      <w:r>
        <w:rPr>
          <w:rFonts w:hint="eastAsia" w:ascii="仿宋" w:hAnsi="仿宋" w:cs="仿宋"/>
          <w:b/>
          <w:sz w:val="48"/>
          <w:szCs w:val="48"/>
        </w:rPr>
        <w:t>地质矿产勘查钻探工程</w:t>
      </w:r>
    </w:p>
    <w:p>
      <w:pPr>
        <w:pStyle w:val="15"/>
        <w:spacing w:line="800" w:lineRule="exact"/>
        <w:ind w:left="0" w:leftChars="0" w:firstLine="0" w:firstLineChars="0"/>
        <w:jc w:val="center"/>
        <w:rPr>
          <w:rFonts w:ascii="仿宋" w:hAnsi="仿宋" w:cs="仿宋"/>
        </w:rPr>
      </w:pPr>
    </w:p>
    <w:p>
      <w:pPr>
        <w:spacing w:line="800" w:lineRule="exact"/>
        <w:ind w:firstLine="0" w:firstLineChars="0"/>
        <w:jc w:val="center"/>
        <w:rPr>
          <w:rFonts w:ascii="仿宋" w:hAnsi="仿宋" w:cs="仿宋"/>
        </w:rPr>
      </w:pPr>
      <w:bookmarkStart w:id="7" w:name="_Toc19205"/>
      <w:bookmarkStart w:id="8" w:name="_Toc5563"/>
      <w:bookmarkStart w:id="9" w:name="_Toc32717"/>
      <w:bookmarkStart w:id="10" w:name="_Toc16758"/>
      <w:bookmarkStart w:id="11" w:name="_Toc28843"/>
      <w:bookmarkStart w:id="12" w:name="_Toc29567"/>
      <w:bookmarkStart w:id="13" w:name="_Toc12648"/>
      <w:bookmarkStart w:id="14" w:name="_Toc5751"/>
      <w:r>
        <w:rPr>
          <w:rFonts w:hint="eastAsia" w:ascii="仿宋" w:hAnsi="仿宋" w:cs="仿宋"/>
          <w:b/>
          <w:bCs/>
          <w:sz w:val="84"/>
          <w:szCs w:val="84"/>
        </w:rPr>
        <w:t>招 标 文 件</w:t>
      </w:r>
      <w:bookmarkEnd w:id="7"/>
      <w:bookmarkEnd w:id="8"/>
      <w:bookmarkEnd w:id="9"/>
      <w:bookmarkEnd w:id="10"/>
      <w:bookmarkEnd w:id="11"/>
      <w:bookmarkEnd w:id="12"/>
      <w:bookmarkEnd w:id="13"/>
      <w:bookmarkEnd w:id="14"/>
    </w:p>
    <w:p>
      <w:pPr>
        <w:spacing w:line="500" w:lineRule="exact"/>
        <w:ind w:right="-389" w:rightChars="-162" w:firstLine="0" w:firstLineChars="0"/>
        <w:jc w:val="center"/>
        <w:rPr>
          <w:rFonts w:ascii="仿宋" w:hAnsi="仿宋" w:cs="仿宋"/>
        </w:rPr>
      </w:pPr>
    </w:p>
    <w:p>
      <w:pPr>
        <w:spacing w:line="500" w:lineRule="exact"/>
        <w:ind w:right="-389" w:rightChars="-162" w:firstLine="480"/>
        <w:rPr>
          <w:rFonts w:ascii="仿宋" w:hAnsi="仿宋" w:cs="仿宋"/>
        </w:rPr>
      </w:pPr>
    </w:p>
    <w:p>
      <w:pPr>
        <w:spacing w:line="500" w:lineRule="exact"/>
        <w:ind w:left="-113" w:leftChars="-135" w:right="-389" w:rightChars="-162" w:hanging="211" w:hangingChars="88"/>
        <w:rPr>
          <w:rFonts w:ascii="仿宋" w:hAnsi="仿宋" w:cs="仿宋"/>
        </w:rPr>
      </w:pPr>
    </w:p>
    <w:p>
      <w:pPr>
        <w:spacing w:line="500" w:lineRule="exact"/>
        <w:ind w:left="-113" w:leftChars="-135" w:right="-389" w:rightChars="-162" w:hanging="211" w:hangingChars="88"/>
        <w:rPr>
          <w:rFonts w:ascii="仿宋" w:hAnsi="仿宋" w:cs="仿宋"/>
        </w:rPr>
      </w:pPr>
    </w:p>
    <w:p>
      <w:pPr>
        <w:spacing w:line="500" w:lineRule="exact"/>
        <w:ind w:left="-113" w:leftChars="-135" w:right="-389" w:rightChars="-162" w:hanging="211" w:hangingChars="88"/>
        <w:rPr>
          <w:rFonts w:ascii="仿宋" w:hAnsi="仿宋" w:cs="仿宋"/>
        </w:rPr>
      </w:pPr>
    </w:p>
    <w:p>
      <w:pPr>
        <w:spacing w:line="500" w:lineRule="exact"/>
        <w:ind w:left="-113" w:leftChars="-135" w:right="-389" w:rightChars="-162" w:hanging="211" w:hangingChars="88"/>
        <w:rPr>
          <w:rFonts w:ascii="仿宋" w:hAnsi="仿宋" w:cs="仿宋"/>
        </w:rPr>
      </w:pPr>
    </w:p>
    <w:p>
      <w:pPr>
        <w:spacing w:line="500" w:lineRule="exact"/>
        <w:ind w:left="-113" w:leftChars="-135" w:right="-389" w:rightChars="-162" w:hanging="211" w:hangingChars="88"/>
        <w:rPr>
          <w:rFonts w:ascii="仿宋" w:hAnsi="仿宋" w:cs="仿宋"/>
        </w:rPr>
      </w:pPr>
    </w:p>
    <w:p>
      <w:pPr>
        <w:spacing w:line="500" w:lineRule="exact"/>
        <w:ind w:left="-113" w:leftChars="-135" w:right="-389" w:rightChars="-162" w:hanging="211" w:hangingChars="88"/>
        <w:jc w:val="center"/>
        <w:rPr>
          <w:rFonts w:ascii="仿宋" w:hAnsi="仿宋" w:cs="仿宋"/>
        </w:rPr>
      </w:pPr>
    </w:p>
    <w:p>
      <w:pPr>
        <w:spacing w:line="500" w:lineRule="exact"/>
        <w:ind w:left="-113" w:leftChars="-135" w:right="-389" w:rightChars="-162" w:hanging="211" w:hangingChars="88"/>
        <w:jc w:val="center"/>
        <w:rPr>
          <w:rFonts w:ascii="仿宋" w:hAnsi="仿宋" w:cs="仿宋"/>
        </w:rPr>
      </w:pPr>
    </w:p>
    <w:p>
      <w:pPr>
        <w:spacing w:line="500" w:lineRule="exact"/>
        <w:ind w:left="113" w:leftChars="-135" w:right="-389" w:rightChars="-162" w:hanging="437" w:hangingChars="88"/>
        <w:rPr>
          <w:rFonts w:ascii="仿宋" w:hAnsi="仿宋" w:cs="仿宋"/>
        </w:rPr>
      </w:pPr>
      <w:r>
        <w:rPr>
          <w:rFonts w:hint="eastAsia" w:ascii="仿宋" w:hAnsi="仿宋" w:cs="仿宋"/>
          <w:b/>
          <w:w w:val="95"/>
          <w:sz w:val="52"/>
          <w:szCs w:val="52"/>
        </w:rPr>
        <w:t xml:space="preserve">        </w:t>
      </w:r>
    </w:p>
    <w:p>
      <w:pPr>
        <w:spacing w:line="500" w:lineRule="exact"/>
        <w:ind w:right="-389" w:rightChars="-162" w:firstLine="689"/>
        <w:rPr>
          <w:rFonts w:ascii="仿宋" w:hAnsi="仿宋" w:cs="仿宋"/>
          <w:b/>
          <w:w w:val="95"/>
          <w:sz w:val="36"/>
          <w:szCs w:val="36"/>
        </w:rPr>
      </w:pPr>
    </w:p>
    <w:p>
      <w:pPr>
        <w:pStyle w:val="15"/>
        <w:ind w:left="480" w:firstLine="480"/>
        <w:rPr>
          <w:rFonts w:ascii="仿宋" w:hAnsi="仿宋" w:cs="仿宋"/>
        </w:rPr>
      </w:pPr>
    </w:p>
    <w:p>
      <w:pPr>
        <w:spacing w:line="600" w:lineRule="exact"/>
        <w:ind w:left="-22" w:leftChars="-135" w:right="-389" w:rightChars="-162" w:hanging="302" w:hangingChars="88"/>
        <w:rPr>
          <w:rFonts w:ascii="仿宋" w:hAnsi="仿宋" w:cs="仿宋"/>
          <w:b/>
          <w:w w:val="95"/>
          <w:sz w:val="36"/>
          <w:szCs w:val="36"/>
        </w:rPr>
      </w:pPr>
    </w:p>
    <w:p>
      <w:pPr>
        <w:pStyle w:val="20"/>
        <w:spacing w:line="600" w:lineRule="exact"/>
        <w:ind w:firstLine="1285" w:firstLineChars="400"/>
        <w:rPr>
          <w:rFonts w:ascii="仿宋" w:hAnsi="仿宋" w:cs="仿宋"/>
          <w:b/>
          <w:sz w:val="32"/>
          <w:szCs w:val="32"/>
        </w:rPr>
      </w:pPr>
      <w:r>
        <w:rPr>
          <w:rFonts w:hint="eastAsia" w:ascii="仿宋" w:hAnsi="仿宋" w:cs="仿宋"/>
          <w:b/>
          <w:sz w:val="32"/>
          <w:szCs w:val="32"/>
        </w:rPr>
        <w:t>招 标 人：</w:t>
      </w:r>
      <w:r>
        <w:rPr>
          <w:rFonts w:hint="eastAsia" w:ascii="仿宋" w:hAnsi="仿宋" w:cs="仿宋"/>
          <w:b/>
          <w:bCs/>
          <w:sz w:val="32"/>
          <w:szCs w:val="32"/>
        </w:rPr>
        <w:t>内蒙古第十地质矿产勘查开发有限责任公司</w:t>
      </w:r>
    </w:p>
    <w:p>
      <w:pPr>
        <w:pStyle w:val="20"/>
        <w:spacing w:line="600" w:lineRule="exact"/>
        <w:ind w:firstLine="0" w:firstLineChars="0"/>
        <w:rPr>
          <w:rFonts w:ascii="仿宋" w:hAnsi="仿宋" w:cs="仿宋"/>
          <w:b/>
          <w:sz w:val="32"/>
          <w:szCs w:val="32"/>
        </w:rPr>
      </w:pPr>
      <w:r>
        <w:rPr>
          <w:rFonts w:hint="eastAsia" w:ascii="仿宋" w:hAnsi="仿宋" w:cs="仿宋"/>
          <w:b/>
          <w:sz w:val="32"/>
          <w:szCs w:val="32"/>
        </w:rPr>
        <w:t xml:space="preserve">        </w:t>
      </w:r>
    </w:p>
    <w:p>
      <w:pPr>
        <w:pStyle w:val="20"/>
        <w:spacing w:line="600" w:lineRule="exact"/>
        <w:ind w:firstLine="1285" w:firstLineChars="400"/>
        <w:rPr>
          <w:rFonts w:ascii="仿宋" w:hAnsi="仿宋" w:cs="仿宋"/>
          <w:b/>
          <w:sz w:val="32"/>
          <w:szCs w:val="32"/>
        </w:rPr>
      </w:pPr>
      <w:r>
        <w:rPr>
          <w:rFonts w:hint="eastAsia" w:ascii="仿宋" w:hAnsi="仿宋" w:cs="仿宋"/>
          <w:b/>
          <w:sz w:val="32"/>
          <w:szCs w:val="32"/>
        </w:rPr>
        <w:t>日    期：二〇二三年五月</w:t>
      </w:r>
    </w:p>
    <w:p>
      <w:pPr>
        <w:pStyle w:val="21"/>
        <w:spacing w:line="500" w:lineRule="exact"/>
        <w:rPr>
          <w:rFonts w:ascii="仿宋" w:hAnsi="仿宋" w:cs="仿宋"/>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8" w:bottom="1440" w:left="1418" w:header="851" w:footer="964" w:gutter="0"/>
          <w:pgNumType w:start="0"/>
          <w:cols w:space="720" w:num="1"/>
          <w:docGrid w:type="lines" w:linePitch="312" w:charSpace="0"/>
        </w:sectPr>
      </w:pPr>
    </w:p>
    <w:p>
      <w:pPr>
        <w:pStyle w:val="12"/>
        <w:tabs>
          <w:tab w:val="right" w:leader="dot" w:pos="8692"/>
        </w:tabs>
        <w:spacing w:line="500" w:lineRule="exact"/>
        <w:jc w:val="center"/>
        <w:rPr>
          <w:rFonts w:ascii="仿宋" w:hAnsi="仿宋" w:cs="仿宋"/>
          <w:b/>
          <w:bCs/>
          <w:sz w:val="32"/>
          <w:szCs w:val="32"/>
        </w:rPr>
      </w:pPr>
    </w:p>
    <w:p>
      <w:pPr>
        <w:pStyle w:val="12"/>
        <w:tabs>
          <w:tab w:val="right" w:leader="dot" w:pos="8692"/>
        </w:tabs>
        <w:spacing w:line="500" w:lineRule="exact"/>
        <w:jc w:val="center"/>
        <w:rPr>
          <w:rFonts w:ascii="仿宋" w:hAnsi="仿宋" w:cs="仿宋"/>
          <w:b/>
          <w:bCs/>
          <w:sz w:val="32"/>
          <w:szCs w:val="32"/>
        </w:rPr>
      </w:pPr>
      <w:r>
        <w:rPr>
          <w:rFonts w:hint="eastAsia" w:ascii="仿宋" w:hAnsi="仿宋" w:cs="仿宋"/>
          <w:b/>
          <w:bCs/>
          <w:sz w:val="32"/>
          <w:szCs w:val="32"/>
        </w:rPr>
        <w:t>目  录</w:t>
      </w:r>
    </w:p>
    <w:p>
      <w:pPr>
        <w:pStyle w:val="12"/>
        <w:tabs>
          <w:tab w:val="right" w:leader="dot" w:pos="9288"/>
        </w:tabs>
        <w:spacing w:line="240" w:lineRule="auto"/>
        <w:ind w:firstLine="480"/>
        <w:rPr>
          <w:rFonts w:ascii="仿宋" w:hAnsi="仿宋" w:cstheme="minorBidi"/>
          <w:sz w:val="21"/>
        </w:rPr>
      </w:pPr>
      <w:r>
        <w:rPr>
          <w:rFonts w:hint="eastAsia" w:ascii="仿宋" w:hAnsi="仿宋" w:cs="仿宋"/>
        </w:rPr>
        <w:fldChar w:fldCharType="begin"/>
      </w:r>
      <w:r>
        <w:rPr>
          <w:rFonts w:hint="eastAsia" w:ascii="仿宋" w:hAnsi="仿宋" w:cs="仿宋"/>
        </w:rPr>
        <w:instrText xml:space="preserve">TOC \o "1-2" \h \u </w:instrText>
      </w:r>
      <w:r>
        <w:rPr>
          <w:rFonts w:hint="eastAsia" w:ascii="仿宋" w:hAnsi="仿宋" w:cs="仿宋"/>
        </w:rPr>
        <w:fldChar w:fldCharType="separate"/>
      </w:r>
      <w:r>
        <w:fldChar w:fldCharType="begin"/>
      </w:r>
      <w:r>
        <w:instrText xml:space="preserve"> HYPERLINK \l "_Toc132377517" </w:instrText>
      </w:r>
      <w:r>
        <w:fldChar w:fldCharType="separate"/>
      </w:r>
      <w:r>
        <w:rPr>
          <w:rStyle w:val="19"/>
          <w:rFonts w:hint="eastAsia" w:ascii="仿宋" w:hAnsi="仿宋" w:cs="仿宋"/>
        </w:rPr>
        <w:t>第一章</w:t>
      </w:r>
      <w:r>
        <w:rPr>
          <w:rStyle w:val="19"/>
          <w:rFonts w:ascii="仿宋" w:hAnsi="仿宋" w:cs="仿宋"/>
        </w:rPr>
        <w:t xml:space="preserve">  </w:t>
      </w:r>
      <w:r>
        <w:rPr>
          <w:rStyle w:val="19"/>
          <w:rFonts w:hint="eastAsia" w:ascii="仿宋" w:hAnsi="仿宋" w:cs="仿宋"/>
        </w:rPr>
        <w:t>招标公告</w:t>
      </w:r>
      <w:r>
        <w:rPr>
          <w:rFonts w:ascii="仿宋" w:hAnsi="仿宋"/>
        </w:rPr>
        <w:tab/>
      </w:r>
      <w:r>
        <w:rPr>
          <w:rFonts w:ascii="仿宋" w:hAnsi="仿宋"/>
        </w:rPr>
        <w:fldChar w:fldCharType="begin"/>
      </w:r>
      <w:r>
        <w:rPr>
          <w:rFonts w:ascii="仿宋" w:hAnsi="仿宋"/>
        </w:rPr>
        <w:instrText xml:space="preserve"> PAGEREF _Toc132377517 \h </w:instrText>
      </w:r>
      <w:r>
        <w:rPr>
          <w:rFonts w:ascii="仿宋" w:hAnsi="仿宋"/>
        </w:rPr>
        <w:fldChar w:fldCharType="separate"/>
      </w:r>
      <w:r>
        <w:rPr>
          <w:rFonts w:ascii="仿宋" w:hAnsi="仿宋"/>
        </w:rPr>
        <w:t>1</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"_Toc132377518" </w:instrText>
      </w:r>
      <w:r>
        <w:fldChar w:fldCharType="separate"/>
      </w:r>
      <w:r>
        <w:rPr>
          <w:rStyle w:val="19"/>
          <w:rFonts w:ascii="仿宋" w:hAnsi="仿宋"/>
        </w:rPr>
        <w:t>1</w:t>
      </w:r>
      <w:r>
        <w:rPr>
          <w:rStyle w:val="19"/>
          <w:rFonts w:hint="eastAsia" w:ascii="仿宋" w:hAnsi="仿宋"/>
        </w:rPr>
        <w:t>、项目概况</w:t>
      </w:r>
      <w:r>
        <w:rPr>
          <w:rFonts w:ascii="仿宋" w:hAnsi="仿宋"/>
        </w:rPr>
        <w:tab/>
      </w:r>
      <w:r>
        <w:rPr>
          <w:rFonts w:ascii="仿宋" w:hAnsi="仿宋"/>
        </w:rPr>
        <w:fldChar w:fldCharType="begin"/>
      </w:r>
      <w:r>
        <w:rPr>
          <w:rFonts w:ascii="仿宋" w:hAnsi="仿宋"/>
        </w:rPr>
        <w:instrText xml:space="preserve"> PAGEREF _Toc132377518 \h </w:instrText>
      </w:r>
      <w:r>
        <w:rPr>
          <w:rFonts w:ascii="仿宋" w:hAnsi="仿宋"/>
        </w:rPr>
        <w:fldChar w:fldCharType="separate"/>
      </w:r>
      <w:r>
        <w:rPr>
          <w:rFonts w:ascii="仿宋" w:hAnsi="仿宋"/>
        </w:rPr>
        <w:t>1</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"_Toc132377519" </w:instrText>
      </w:r>
      <w:r>
        <w:fldChar w:fldCharType="separate"/>
      </w:r>
      <w:r>
        <w:rPr>
          <w:rStyle w:val="19"/>
          <w:rFonts w:ascii="仿宋" w:hAnsi="仿宋"/>
        </w:rPr>
        <w:t>2</w:t>
      </w:r>
      <w:r>
        <w:rPr>
          <w:rStyle w:val="19"/>
          <w:rFonts w:hint="eastAsia" w:ascii="仿宋" w:hAnsi="仿宋"/>
        </w:rPr>
        <w:t>、投标人资格要求</w:t>
      </w:r>
      <w:r>
        <w:rPr>
          <w:rFonts w:ascii="仿宋" w:hAnsi="仿宋"/>
        </w:rPr>
        <w:tab/>
      </w:r>
      <w:r>
        <w:rPr>
          <w:rFonts w:ascii="仿宋" w:hAnsi="仿宋"/>
        </w:rPr>
        <w:fldChar w:fldCharType="begin"/>
      </w:r>
      <w:r>
        <w:rPr>
          <w:rFonts w:ascii="仿宋" w:hAnsi="仿宋"/>
        </w:rPr>
        <w:instrText xml:space="preserve"> PAGEREF _Toc132377519 \h </w:instrText>
      </w:r>
      <w:r>
        <w:rPr>
          <w:rFonts w:ascii="仿宋" w:hAnsi="仿宋"/>
        </w:rPr>
        <w:fldChar w:fldCharType="separate"/>
      </w:r>
      <w:r>
        <w:rPr>
          <w:rFonts w:ascii="仿宋" w:hAnsi="仿宋"/>
        </w:rPr>
        <w:t>1</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"_Toc132377520" </w:instrText>
      </w:r>
      <w:r>
        <w:fldChar w:fldCharType="separate"/>
      </w:r>
      <w:r>
        <w:rPr>
          <w:rStyle w:val="19"/>
          <w:rFonts w:ascii="仿宋" w:hAnsi="仿宋"/>
        </w:rPr>
        <w:t>3</w:t>
      </w:r>
      <w:r>
        <w:rPr>
          <w:rStyle w:val="19"/>
          <w:rFonts w:hint="eastAsia" w:ascii="仿宋" w:hAnsi="仿宋"/>
        </w:rPr>
        <w:t>、招标文件的获取</w:t>
      </w:r>
      <w:r>
        <w:rPr>
          <w:rFonts w:ascii="仿宋" w:hAnsi="仿宋"/>
        </w:rPr>
        <w:tab/>
      </w:r>
      <w:r>
        <w:rPr>
          <w:rFonts w:ascii="仿宋" w:hAnsi="仿宋"/>
        </w:rPr>
        <w:fldChar w:fldCharType="begin"/>
      </w:r>
      <w:r>
        <w:rPr>
          <w:rFonts w:ascii="仿宋" w:hAnsi="仿宋"/>
        </w:rPr>
        <w:instrText xml:space="preserve"> PAGEREF _Toc132377520 \h </w:instrText>
      </w:r>
      <w:r>
        <w:rPr>
          <w:rFonts w:ascii="仿宋" w:hAnsi="仿宋"/>
        </w:rPr>
        <w:fldChar w:fldCharType="separate"/>
      </w:r>
      <w:r>
        <w:rPr>
          <w:rFonts w:ascii="仿宋" w:hAnsi="仿宋"/>
        </w:rPr>
        <w:t>1</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"_Toc132377521" </w:instrText>
      </w:r>
      <w:r>
        <w:fldChar w:fldCharType="separate"/>
      </w:r>
      <w:r>
        <w:rPr>
          <w:rStyle w:val="19"/>
          <w:rFonts w:ascii="仿宋" w:hAnsi="仿宋"/>
        </w:rPr>
        <w:t>4</w:t>
      </w:r>
      <w:r>
        <w:rPr>
          <w:rStyle w:val="19"/>
          <w:rFonts w:hint="eastAsia" w:ascii="仿宋" w:hAnsi="仿宋"/>
        </w:rPr>
        <w:t>、投标文件的递交</w:t>
      </w:r>
      <w:r>
        <w:rPr>
          <w:rFonts w:ascii="仿宋" w:hAnsi="仿宋"/>
        </w:rPr>
        <w:tab/>
      </w:r>
      <w:r>
        <w:rPr>
          <w:rFonts w:ascii="仿宋" w:hAnsi="仿宋"/>
        </w:rPr>
        <w:fldChar w:fldCharType="begin"/>
      </w:r>
      <w:r>
        <w:rPr>
          <w:rFonts w:ascii="仿宋" w:hAnsi="仿宋"/>
        </w:rPr>
        <w:instrText xml:space="preserve"> PAGEREF _Toc132377521 \h </w:instrText>
      </w:r>
      <w:r>
        <w:rPr>
          <w:rFonts w:ascii="仿宋" w:hAnsi="仿宋"/>
        </w:rPr>
        <w:fldChar w:fldCharType="separate"/>
      </w:r>
      <w:r>
        <w:rPr>
          <w:rFonts w:ascii="仿宋" w:hAnsi="仿宋"/>
        </w:rPr>
        <w:t>2</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"_Toc132377522" </w:instrText>
      </w:r>
      <w:r>
        <w:fldChar w:fldCharType="separate"/>
      </w:r>
      <w:r>
        <w:rPr>
          <w:rStyle w:val="19"/>
          <w:rFonts w:ascii="仿宋" w:hAnsi="仿宋"/>
        </w:rPr>
        <w:t>5</w:t>
      </w:r>
      <w:r>
        <w:rPr>
          <w:rStyle w:val="19"/>
          <w:rFonts w:hint="eastAsia" w:ascii="仿宋" w:hAnsi="仿宋"/>
        </w:rPr>
        <w:t>、开标时间及地点</w:t>
      </w:r>
      <w:r>
        <w:rPr>
          <w:rFonts w:ascii="仿宋" w:hAnsi="仿宋"/>
        </w:rPr>
        <w:tab/>
      </w:r>
      <w:r>
        <w:rPr>
          <w:rFonts w:ascii="仿宋" w:hAnsi="仿宋"/>
        </w:rPr>
        <w:fldChar w:fldCharType="begin"/>
      </w:r>
      <w:r>
        <w:rPr>
          <w:rFonts w:ascii="仿宋" w:hAnsi="仿宋"/>
        </w:rPr>
        <w:instrText xml:space="preserve"> PAGEREF _Toc132377522 \h </w:instrText>
      </w:r>
      <w:r>
        <w:rPr>
          <w:rFonts w:ascii="仿宋" w:hAnsi="仿宋"/>
        </w:rPr>
        <w:fldChar w:fldCharType="separate"/>
      </w:r>
      <w:r>
        <w:rPr>
          <w:rFonts w:ascii="仿宋" w:hAnsi="仿宋"/>
        </w:rPr>
        <w:t>2</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"_Toc132377523" </w:instrText>
      </w:r>
      <w:r>
        <w:fldChar w:fldCharType="separate"/>
      </w:r>
      <w:r>
        <w:rPr>
          <w:rStyle w:val="19"/>
          <w:rFonts w:ascii="仿宋" w:hAnsi="仿宋"/>
        </w:rPr>
        <w:t>6</w:t>
      </w:r>
      <w:r>
        <w:rPr>
          <w:rStyle w:val="19"/>
          <w:rFonts w:hint="eastAsia" w:ascii="仿宋" w:hAnsi="仿宋"/>
        </w:rPr>
        <w:t>、公告发布媒介</w:t>
      </w:r>
      <w:r>
        <w:rPr>
          <w:rFonts w:ascii="仿宋" w:hAnsi="仿宋"/>
        </w:rPr>
        <w:tab/>
      </w:r>
      <w:r>
        <w:rPr>
          <w:rFonts w:ascii="仿宋" w:hAnsi="仿宋"/>
        </w:rPr>
        <w:fldChar w:fldCharType="begin"/>
      </w:r>
      <w:r>
        <w:rPr>
          <w:rFonts w:ascii="仿宋" w:hAnsi="仿宋"/>
        </w:rPr>
        <w:instrText xml:space="preserve"> PAGEREF _Toc132377523 \h </w:instrText>
      </w:r>
      <w:r>
        <w:rPr>
          <w:rFonts w:ascii="仿宋" w:hAnsi="仿宋"/>
        </w:rPr>
        <w:fldChar w:fldCharType="separate"/>
      </w:r>
      <w:r>
        <w:rPr>
          <w:rFonts w:ascii="仿宋" w:hAnsi="仿宋"/>
        </w:rPr>
        <w:t>2</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"_Toc132377524" </w:instrText>
      </w:r>
      <w:r>
        <w:fldChar w:fldCharType="separate"/>
      </w:r>
      <w:r>
        <w:rPr>
          <w:rStyle w:val="19"/>
          <w:rFonts w:ascii="仿宋" w:hAnsi="仿宋"/>
        </w:rPr>
        <w:t>7</w:t>
      </w:r>
      <w:r>
        <w:rPr>
          <w:rStyle w:val="19"/>
          <w:rFonts w:hint="eastAsia" w:ascii="仿宋" w:hAnsi="仿宋"/>
        </w:rPr>
        <w:t>、联系方式</w:t>
      </w:r>
      <w:r>
        <w:rPr>
          <w:rFonts w:ascii="仿宋" w:hAnsi="仿宋"/>
        </w:rPr>
        <w:tab/>
      </w:r>
      <w:r>
        <w:rPr>
          <w:rFonts w:ascii="仿宋" w:hAnsi="仿宋"/>
        </w:rPr>
        <w:fldChar w:fldCharType="begin"/>
      </w:r>
      <w:r>
        <w:rPr>
          <w:rFonts w:ascii="仿宋" w:hAnsi="仿宋"/>
        </w:rPr>
        <w:instrText xml:space="preserve"> PAGEREF _Toc132377524 \h </w:instrText>
      </w:r>
      <w:r>
        <w:rPr>
          <w:rFonts w:ascii="仿宋" w:hAnsi="仿宋"/>
        </w:rPr>
        <w:fldChar w:fldCharType="separate"/>
      </w:r>
      <w:r>
        <w:rPr>
          <w:rFonts w:ascii="仿宋" w:hAnsi="仿宋"/>
        </w:rPr>
        <w:t>2</w:t>
      </w:r>
      <w:r>
        <w:rPr>
          <w:rFonts w:ascii="仿宋" w:hAnsi="仿宋"/>
        </w:rPr>
        <w:fldChar w:fldCharType="end"/>
      </w:r>
      <w:r>
        <w:rPr>
          <w:rFonts w:ascii="仿宋" w:hAnsi="仿宋"/>
        </w:rPr>
        <w:fldChar w:fldCharType="end"/>
      </w:r>
    </w:p>
    <w:p>
      <w:pPr>
        <w:pStyle w:val="12"/>
        <w:tabs>
          <w:tab w:val="right" w:leader="dot" w:pos="9288"/>
        </w:tabs>
        <w:spacing w:line="240" w:lineRule="auto"/>
        <w:ind w:firstLine="480"/>
        <w:rPr>
          <w:rFonts w:ascii="仿宋" w:hAnsi="仿宋" w:cstheme="minorBidi"/>
          <w:sz w:val="21"/>
        </w:rPr>
      </w:pPr>
      <w:r>
        <w:fldChar w:fldCharType="begin"/>
      </w:r>
      <w:r>
        <w:instrText xml:space="preserve"> HYPERLINK \l "_Toc132377525" </w:instrText>
      </w:r>
      <w:r>
        <w:fldChar w:fldCharType="separate"/>
      </w:r>
      <w:r>
        <w:rPr>
          <w:rStyle w:val="19"/>
          <w:rFonts w:hint="eastAsia" w:ascii="仿宋" w:hAnsi="仿宋"/>
        </w:rPr>
        <w:t>第二章 投标人须知</w:t>
      </w:r>
      <w:r>
        <w:rPr>
          <w:rFonts w:ascii="仿宋" w:hAnsi="仿宋"/>
        </w:rPr>
        <w:tab/>
      </w:r>
      <w:r>
        <w:rPr>
          <w:rFonts w:ascii="仿宋" w:hAnsi="仿宋"/>
        </w:rPr>
        <w:fldChar w:fldCharType="begin"/>
      </w:r>
      <w:r>
        <w:rPr>
          <w:rFonts w:ascii="仿宋" w:hAnsi="仿宋"/>
        </w:rPr>
        <w:instrText xml:space="preserve"> PAGEREF _Toc132377525 \h </w:instrText>
      </w:r>
      <w:r>
        <w:rPr>
          <w:rFonts w:ascii="仿宋" w:hAnsi="仿宋"/>
        </w:rPr>
        <w:fldChar w:fldCharType="separate"/>
      </w:r>
      <w:r>
        <w:rPr>
          <w:rFonts w:ascii="仿宋" w:hAnsi="仿宋"/>
        </w:rPr>
        <w:t>3</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"_Toc132377526" </w:instrText>
      </w:r>
      <w:r>
        <w:fldChar w:fldCharType="separate"/>
      </w:r>
      <w:r>
        <w:rPr>
          <w:rStyle w:val="19"/>
          <w:rFonts w:ascii="仿宋" w:hAnsi="仿宋"/>
        </w:rPr>
        <w:t>1</w:t>
      </w:r>
      <w:r>
        <w:rPr>
          <w:rStyle w:val="19"/>
          <w:rFonts w:hint="eastAsia" w:ascii="仿宋" w:hAnsi="仿宋"/>
        </w:rPr>
        <w:t>、投标人须知附表</w:t>
      </w:r>
      <w:r>
        <w:rPr>
          <w:rFonts w:ascii="仿宋" w:hAnsi="仿宋"/>
        </w:rPr>
        <w:tab/>
      </w:r>
      <w:r>
        <w:rPr>
          <w:rFonts w:ascii="仿宋" w:hAnsi="仿宋"/>
        </w:rPr>
        <w:fldChar w:fldCharType="begin"/>
      </w:r>
      <w:r>
        <w:rPr>
          <w:rFonts w:ascii="仿宋" w:hAnsi="仿宋"/>
        </w:rPr>
        <w:instrText xml:space="preserve"> PAGEREF _Toc132377526 \h </w:instrText>
      </w:r>
      <w:r>
        <w:rPr>
          <w:rFonts w:ascii="仿宋" w:hAnsi="仿宋"/>
        </w:rPr>
        <w:fldChar w:fldCharType="separate"/>
      </w:r>
      <w:r>
        <w:rPr>
          <w:rFonts w:ascii="仿宋" w:hAnsi="仿宋"/>
        </w:rPr>
        <w:t>3</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"_Toc132377527" </w:instrText>
      </w:r>
      <w:r>
        <w:fldChar w:fldCharType="separate"/>
      </w:r>
      <w:r>
        <w:rPr>
          <w:rStyle w:val="19"/>
          <w:rFonts w:ascii="仿宋" w:hAnsi="仿宋"/>
        </w:rPr>
        <w:t>2</w:t>
      </w:r>
      <w:r>
        <w:rPr>
          <w:rStyle w:val="19"/>
          <w:rFonts w:hint="eastAsia" w:ascii="仿宋" w:hAnsi="仿宋"/>
        </w:rPr>
        <w:t>、招标文件</w:t>
      </w:r>
      <w:r>
        <w:rPr>
          <w:rFonts w:ascii="仿宋" w:hAnsi="仿宋"/>
        </w:rPr>
        <w:tab/>
      </w:r>
      <w:r>
        <w:rPr>
          <w:rFonts w:ascii="仿宋" w:hAnsi="仿宋"/>
        </w:rPr>
        <w:fldChar w:fldCharType="begin"/>
      </w:r>
      <w:r>
        <w:rPr>
          <w:rFonts w:ascii="仿宋" w:hAnsi="仿宋"/>
        </w:rPr>
        <w:instrText xml:space="preserve"> PAGEREF _Toc132377527 \h </w:instrText>
      </w:r>
      <w:r>
        <w:rPr>
          <w:rFonts w:ascii="仿宋" w:hAnsi="仿宋"/>
        </w:rPr>
        <w:fldChar w:fldCharType="separate"/>
      </w:r>
      <w:r>
        <w:rPr>
          <w:rFonts w:ascii="仿宋" w:hAnsi="仿宋"/>
        </w:rPr>
        <w:t>5</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"_Toc132377528" </w:instrText>
      </w:r>
      <w:r>
        <w:fldChar w:fldCharType="separate"/>
      </w:r>
      <w:r>
        <w:rPr>
          <w:rStyle w:val="19"/>
          <w:rFonts w:ascii="仿宋" w:hAnsi="仿宋"/>
        </w:rPr>
        <w:t>3</w:t>
      </w:r>
      <w:r>
        <w:rPr>
          <w:rStyle w:val="19"/>
          <w:rFonts w:hint="eastAsia" w:ascii="仿宋" w:hAnsi="仿宋"/>
        </w:rPr>
        <w:t>、投标文件</w:t>
      </w:r>
      <w:r>
        <w:rPr>
          <w:rFonts w:ascii="仿宋" w:hAnsi="仿宋"/>
        </w:rPr>
        <w:tab/>
      </w:r>
      <w:r>
        <w:rPr>
          <w:rFonts w:ascii="仿宋" w:hAnsi="仿宋"/>
        </w:rPr>
        <w:fldChar w:fldCharType="begin"/>
      </w:r>
      <w:r>
        <w:rPr>
          <w:rFonts w:ascii="仿宋" w:hAnsi="仿宋"/>
        </w:rPr>
        <w:instrText xml:space="preserve"> PAGEREF _Toc132377528 \h </w:instrText>
      </w:r>
      <w:r>
        <w:rPr>
          <w:rFonts w:ascii="仿宋" w:hAnsi="仿宋"/>
        </w:rPr>
        <w:fldChar w:fldCharType="separate"/>
      </w:r>
      <w:r>
        <w:rPr>
          <w:rFonts w:ascii="仿宋" w:hAnsi="仿宋"/>
        </w:rPr>
        <w:t>5</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"_Toc132377529" </w:instrText>
      </w:r>
      <w:r>
        <w:fldChar w:fldCharType="separate"/>
      </w:r>
      <w:r>
        <w:rPr>
          <w:rStyle w:val="19"/>
          <w:rFonts w:ascii="仿宋" w:hAnsi="仿宋"/>
        </w:rPr>
        <w:t>4</w:t>
      </w:r>
      <w:r>
        <w:rPr>
          <w:rStyle w:val="19"/>
          <w:rFonts w:hint="eastAsia" w:ascii="仿宋" w:hAnsi="仿宋"/>
        </w:rPr>
        <w:t>、投标</w:t>
      </w:r>
      <w:r>
        <w:rPr>
          <w:rFonts w:ascii="仿宋" w:hAnsi="仿宋"/>
        </w:rPr>
        <w:tab/>
      </w:r>
      <w:r>
        <w:rPr>
          <w:rFonts w:ascii="仿宋" w:hAnsi="仿宋"/>
        </w:rPr>
        <w:fldChar w:fldCharType="begin"/>
      </w:r>
      <w:r>
        <w:rPr>
          <w:rFonts w:ascii="仿宋" w:hAnsi="仿宋"/>
        </w:rPr>
        <w:instrText xml:space="preserve"> PAGEREF _Toc132377529 \h </w:instrText>
      </w:r>
      <w:r>
        <w:rPr>
          <w:rFonts w:ascii="仿宋" w:hAnsi="仿宋"/>
        </w:rPr>
        <w:fldChar w:fldCharType="separate"/>
      </w:r>
      <w:r>
        <w:rPr>
          <w:rFonts w:ascii="仿宋" w:hAnsi="仿宋"/>
        </w:rPr>
        <w:t>6</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"_Toc132377530" </w:instrText>
      </w:r>
      <w:r>
        <w:fldChar w:fldCharType="separate"/>
      </w:r>
      <w:r>
        <w:rPr>
          <w:rStyle w:val="19"/>
          <w:rFonts w:ascii="仿宋" w:hAnsi="仿宋"/>
        </w:rPr>
        <w:t>5</w:t>
      </w:r>
      <w:r>
        <w:rPr>
          <w:rStyle w:val="19"/>
          <w:rFonts w:hint="eastAsia" w:ascii="仿宋" w:hAnsi="仿宋"/>
        </w:rPr>
        <w:t>、开标</w:t>
      </w:r>
      <w:r>
        <w:rPr>
          <w:rFonts w:ascii="仿宋" w:hAnsi="仿宋"/>
        </w:rPr>
        <w:tab/>
      </w:r>
      <w:r>
        <w:rPr>
          <w:rFonts w:ascii="仿宋" w:hAnsi="仿宋"/>
        </w:rPr>
        <w:fldChar w:fldCharType="begin"/>
      </w:r>
      <w:r>
        <w:rPr>
          <w:rFonts w:ascii="仿宋" w:hAnsi="仿宋"/>
        </w:rPr>
        <w:instrText xml:space="preserve"> PAGEREF _Toc132377530 \h </w:instrText>
      </w:r>
      <w:r>
        <w:rPr>
          <w:rFonts w:ascii="仿宋" w:hAnsi="仿宋"/>
        </w:rPr>
        <w:fldChar w:fldCharType="separate"/>
      </w:r>
      <w:r>
        <w:rPr>
          <w:rFonts w:ascii="仿宋" w:hAnsi="仿宋"/>
        </w:rPr>
        <w:t>7</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"_Toc132377531" </w:instrText>
      </w:r>
      <w:r>
        <w:fldChar w:fldCharType="separate"/>
      </w:r>
      <w:r>
        <w:rPr>
          <w:rStyle w:val="19"/>
          <w:rFonts w:ascii="仿宋" w:hAnsi="仿宋"/>
        </w:rPr>
        <w:t>6</w:t>
      </w:r>
      <w:r>
        <w:rPr>
          <w:rStyle w:val="19"/>
          <w:rFonts w:hint="eastAsia" w:ascii="仿宋" w:hAnsi="仿宋"/>
        </w:rPr>
        <w:t>、评标</w:t>
      </w:r>
      <w:r>
        <w:rPr>
          <w:rFonts w:ascii="仿宋" w:hAnsi="仿宋"/>
        </w:rPr>
        <w:tab/>
      </w:r>
      <w:r>
        <w:rPr>
          <w:rFonts w:ascii="仿宋" w:hAnsi="仿宋"/>
        </w:rPr>
        <w:fldChar w:fldCharType="begin"/>
      </w:r>
      <w:r>
        <w:rPr>
          <w:rFonts w:ascii="仿宋" w:hAnsi="仿宋"/>
        </w:rPr>
        <w:instrText xml:space="preserve"> PAGEREF _Toc132377531 \h </w:instrText>
      </w:r>
      <w:r>
        <w:rPr>
          <w:rFonts w:ascii="仿宋" w:hAnsi="仿宋"/>
        </w:rPr>
        <w:fldChar w:fldCharType="separate"/>
      </w:r>
      <w:r>
        <w:rPr>
          <w:rFonts w:ascii="仿宋" w:hAnsi="仿宋"/>
        </w:rPr>
        <w:t>7</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"_Toc132377532" </w:instrText>
      </w:r>
      <w:r>
        <w:fldChar w:fldCharType="separate"/>
      </w:r>
      <w:r>
        <w:rPr>
          <w:rStyle w:val="19"/>
          <w:rFonts w:ascii="仿宋" w:hAnsi="仿宋"/>
        </w:rPr>
        <w:t>7</w:t>
      </w:r>
      <w:r>
        <w:rPr>
          <w:rStyle w:val="19"/>
          <w:rFonts w:hint="eastAsia" w:ascii="仿宋" w:hAnsi="仿宋"/>
        </w:rPr>
        <w:t>、合同授予</w:t>
      </w:r>
      <w:r>
        <w:rPr>
          <w:rFonts w:ascii="仿宋" w:hAnsi="仿宋"/>
        </w:rPr>
        <w:tab/>
      </w:r>
      <w:r>
        <w:rPr>
          <w:rFonts w:ascii="仿宋" w:hAnsi="仿宋"/>
        </w:rPr>
        <w:fldChar w:fldCharType="begin"/>
      </w:r>
      <w:r>
        <w:rPr>
          <w:rFonts w:ascii="仿宋" w:hAnsi="仿宋"/>
        </w:rPr>
        <w:instrText xml:space="preserve"> PAGEREF _Toc132377532 \h </w:instrText>
      </w:r>
      <w:r>
        <w:rPr>
          <w:rFonts w:ascii="仿宋" w:hAnsi="仿宋"/>
        </w:rPr>
        <w:fldChar w:fldCharType="separate"/>
      </w:r>
      <w:r>
        <w:rPr>
          <w:rFonts w:ascii="仿宋" w:hAnsi="仿宋"/>
        </w:rPr>
        <w:t>8</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"_Toc132377533" </w:instrText>
      </w:r>
      <w:r>
        <w:fldChar w:fldCharType="separate"/>
      </w:r>
      <w:r>
        <w:rPr>
          <w:rStyle w:val="19"/>
          <w:rFonts w:ascii="仿宋" w:hAnsi="仿宋"/>
        </w:rPr>
        <w:t>8</w:t>
      </w:r>
      <w:r>
        <w:rPr>
          <w:rStyle w:val="19"/>
          <w:rFonts w:hint="eastAsia" w:ascii="仿宋" w:hAnsi="仿宋"/>
        </w:rPr>
        <w:t>、纪律和监督</w:t>
      </w:r>
      <w:r>
        <w:rPr>
          <w:rFonts w:ascii="仿宋" w:hAnsi="仿宋"/>
        </w:rPr>
        <w:tab/>
      </w:r>
      <w:r>
        <w:rPr>
          <w:rFonts w:ascii="仿宋" w:hAnsi="仿宋"/>
        </w:rPr>
        <w:fldChar w:fldCharType="begin"/>
      </w:r>
      <w:r>
        <w:rPr>
          <w:rFonts w:ascii="仿宋" w:hAnsi="仿宋"/>
        </w:rPr>
        <w:instrText xml:space="preserve"> PAGEREF _Toc132377533 \h </w:instrText>
      </w:r>
      <w:r>
        <w:rPr>
          <w:rFonts w:ascii="仿宋" w:hAnsi="仿宋"/>
        </w:rPr>
        <w:fldChar w:fldCharType="separate"/>
      </w:r>
      <w:r>
        <w:rPr>
          <w:rFonts w:ascii="仿宋" w:hAnsi="仿宋"/>
        </w:rPr>
        <w:t>8</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"_Toc132377534" </w:instrText>
      </w:r>
      <w:r>
        <w:fldChar w:fldCharType="separate"/>
      </w:r>
      <w:r>
        <w:rPr>
          <w:rStyle w:val="19"/>
          <w:rFonts w:ascii="仿宋" w:hAnsi="仿宋"/>
        </w:rPr>
        <w:t>9</w:t>
      </w:r>
      <w:r>
        <w:rPr>
          <w:rStyle w:val="19"/>
          <w:rFonts w:hint="eastAsia" w:ascii="仿宋" w:hAnsi="仿宋"/>
        </w:rPr>
        <w:t>、需要补充的其他内容</w:t>
      </w:r>
      <w:r>
        <w:rPr>
          <w:rFonts w:ascii="仿宋" w:hAnsi="仿宋"/>
        </w:rPr>
        <w:tab/>
      </w:r>
      <w:r>
        <w:rPr>
          <w:rFonts w:ascii="仿宋" w:hAnsi="仿宋"/>
        </w:rPr>
        <w:fldChar w:fldCharType="begin"/>
      </w:r>
      <w:r>
        <w:rPr>
          <w:rFonts w:ascii="仿宋" w:hAnsi="仿宋"/>
        </w:rPr>
        <w:instrText xml:space="preserve"> PAGEREF _Toc132377534 \h </w:instrText>
      </w:r>
      <w:r>
        <w:rPr>
          <w:rFonts w:ascii="仿宋" w:hAnsi="仿宋"/>
        </w:rPr>
        <w:fldChar w:fldCharType="separate"/>
      </w:r>
      <w:r>
        <w:rPr>
          <w:rFonts w:ascii="仿宋" w:hAnsi="仿宋"/>
        </w:rPr>
        <w:t>9</w:t>
      </w:r>
      <w:r>
        <w:rPr>
          <w:rFonts w:ascii="仿宋" w:hAnsi="仿宋"/>
        </w:rPr>
        <w:fldChar w:fldCharType="end"/>
      </w:r>
      <w:r>
        <w:rPr>
          <w:rFonts w:ascii="仿宋" w:hAnsi="仿宋"/>
        </w:rPr>
        <w:fldChar w:fldCharType="end"/>
      </w:r>
    </w:p>
    <w:p>
      <w:pPr>
        <w:pStyle w:val="12"/>
        <w:tabs>
          <w:tab w:val="right" w:leader="dot" w:pos="9288"/>
        </w:tabs>
        <w:spacing w:line="240" w:lineRule="auto"/>
        <w:ind w:firstLine="480"/>
        <w:rPr>
          <w:rFonts w:ascii="仿宋" w:hAnsi="仿宋" w:cstheme="minorBidi"/>
          <w:sz w:val="21"/>
        </w:rPr>
      </w:pPr>
      <w:r>
        <w:fldChar w:fldCharType="begin"/>
      </w:r>
      <w:r>
        <w:instrText xml:space="preserve"> HYPERLINK \l "_Toc132377535" </w:instrText>
      </w:r>
      <w:r>
        <w:fldChar w:fldCharType="separate"/>
      </w:r>
      <w:r>
        <w:rPr>
          <w:rStyle w:val="19"/>
          <w:rFonts w:hint="eastAsia" w:ascii="仿宋" w:hAnsi="仿宋"/>
        </w:rPr>
        <w:t>第三章</w:t>
      </w:r>
      <w:r>
        <w:rPr>
          <w:rStyle w:val="19"/>
          <w:rFonts w:ascii="仿宋" w:hAnsi="仿宋"/>
        </w:rPr>
        <w:t xml:space="preserve">  </w:t>
      </w:r>
      <w:r>
        <w:rPr>
          <w:rStyle w:val="19"/>
          <w:rFonts w:hint="eastAsia" w:ascii="仿宋" w:hAnsi="仿宋"/>
        </w:rPr>
        <w:t>评标办法</w:t>
      </w:r>
      <w:r>
        <w:rPr>
          <w:rFonts w:ascii="仿宋" w:hAnsi="仿宋"/>
        </w:rPr>
        <w:tab/>
      </w:r>
      <w:r>
        <w:rPr>
          <w:rFonts w:ascii="仿宋" w:hAnsi="仿宋"/>
        </w:rPr>
        <w:fldChar w:fldCharType="begin"/>
      </w:r>
      <w:r>
        <w:rPr>
          <w:rFonts w:ascii="仿宋" w:hAnsi="仿宋"/>
        </w:rPr>
        <w:instrText xml:space="preserve"> PAGEREF _Toc132377535 \h </w:instrText>
      </w:r>
      <w:r>
        <w:rPr>
          <w:rFonts w:ascii="仿宋" w:hAnsi="仿宋"/>
        </w:rPr>
        <w:fldChar w:fldCharType="separate"/>
      </w:r>
      <w:r>
        <w:rPr>
          <w:rFonts w:ascii="仿宋" w:hAnsi="仿宋"/>
        </w:rPr>
        <w:t>10</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"_Toc132377536" </w:instrText>
      </w:r>
      <w:r>
        <w:fldChar w:fldCharType="separate"/>
      </w:r>
      <w:r>
        <w:rPr>
          <w:rStyle w:val="19"/>
          <w:rFonts w:ascii="仿宋" w:hAnsi="仿宋"/>
        </w:rPr>
        <w:t>1</w:t>
      </w:r>
      <w:r>
        <w:rPr>
          <w:rStyle w:val="19"/>
          <w:rFonts w:hint="eastAsia" w:ascii="仿宋" w:hAnsi="仿宋"/>
        </w:rPr>
        <w:t>、评标方法</w:t>
      </w:r>
      <w:r>
        <w:rPr>
          <w:rFonts w:ascii="仿宋" w:hAnsi="仿宋"/>
        </w:rPr>
        <w:tab/>
      </w:r>
      <w:r>
        <w:rPr>
          <w:rFonts w:ascii="仿宋" w:hAnsi="仿宋"/>
        </w:rPr>
        <w:fldChar w:fldCharType="begin"/>
      </w:r>
      <w:r>
        <w:rPr>
          <w:rFonts w:ascii="仿宋" w:hAnsi="仿宋"/>
        </w:rPr>
        <w:instrText xml:space="preserve"> PAGEREF _Toc132377536 \h </w:instrText>
      </w:r>
      <w:r>
        <w:rPr>
          <w:rFonts w:ascii="仿宋" w:hAnsi="仿宋"/>
        </w:rPr>
        <w:fldChar w:fldCharType="separate"/>
      </w:r>
      <w:r>
        <w:rPr>
          <w:rFonts w:ascii="仿宋" w:hAnsi="仿宋"/>
        </w:rPr>
        <w:t>11</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"_Toc132377537" </w:instrText>
      </w:r>
      <w:r>
        <w:fldChar w:fldCharType="separate"/>
      </w:r>
      <w:r>
        <w:rPr>
          <w:rStyle w:val="19"/>
          <w:rFonts w:ascii="仿宋" w:hAnsi="仿宋"/>
        </w:rPr>
        <w:t>2</w:t>
      </w:r>
      <w:r>
        <w:rPr>
          <w:rStyle w:val="19"/>
          <w:rFonts w:hint="eastAsia" w:ascii="仿宋" w:hAnsi="仿宋"/>
        </w:rPr>
        <w:t>、评标程序</w:t>
      </w:r>
      <w:r>
        <w:rPr>
          <w:rFonts w:ascii="仿宋" w:hAnsi="仿宋"/>
        </w:rPr>
        <w:tab/>
      </w:r>
      <w:r>
        <w:rPr>
          <w:rFonts w:ascii="仿宋" w:hAnsi="仿宋"/>
        </w:rPr>
        <w:fldChar w:fldCharType="begin"/>
      </w:r>
      <w:r>
        <w:rPr>
          <w:rFonts w:ascii="仿宋" w:hAnsi="仿宋"/>
        </w:rPr>
        <w:instrText xml:space="preserve"> PAGEREF _Toc132377537 \h </w:instrText>
      </w:r>
      <w:r>
        <w:rPr>
          <w:rFonts w:ascii="仿宋" w:hAnsi="仿宋"/>
        </w:rPr>
        <w:fldChar w:fldCharType="separate"/>
      </w:r>
      <w:r>
        <w:rPr>
          <w:rFonts w:ascii="仿宋" w:hAnsi="仿宋"/>
        </w:rPr>
        <w:t>11</w:t>
      </w:r>
      <w:r>
        <w:rPr>
          <w:rFonts w:ascii="仿宋" w:hAnsi="仿宋"/>
        </w:rPr>
        <w:fldChar w:fldCharType="end"/>
      </w:r>
      <w:r>
        <w:rPr>
          <w:rFonts w:ascii="仿宋" w:hAnsi="仿宋"/>
        </w:rPr>
        <w:fldChar w:fldCharType="end"/>
      </w:r>
    </w:p>
    <w:p>
      <w:pPr>
        <w:pStyle w:val="12"/>
        <w:tabs>
          <w:tab w:val="right" w:leader="dot" w:pos="9288"/>
        </w:tabs>
        <w:spacing w:line="240" w:lineRule="auto"/>
        <w:ind w:firstLine="480"/>
        <w:rPr>
          <w:rFonts w:ascii="仿宋" w:hAnsi="仿宋" w:cstheme="minorBidi"/>
          <w:sz w:val="21"/>
        </w:rPr>
      </w:pPr>
      <w:r>
        <w:fldChar w:fldCharType="begin"/>
      </w:r>
      <w:r>
        <w:instrText xml:space="preserve"> HYPERLINK \l "_Toc132377538" </w:instrText>
      </w:r>
      <w:r>
        <w:fldChar w:fldCharType="separate"/>
      </w:r>
      <w:r>
        <w:rPr>
          <w:rStyle w:val="19"/>
          <w:rFonts w:hint="eastAsia" w:ascii="仿宋" w:hAnsi="仿宋"/>
        </w:rPr>
        <w:t>第四章</w:t>
      </w:r>
      <w:r>
        <w:rPr>
          <w:rStyle w:val="19"/>
          <w:rFonts w:ascii="仿宋" w:hAnsi="仿宋"/>
        </w:rPr>
        <w:t xml:space="preserve">  </w:t>
      </w:r>
      <w:r>
        <w:rPr>
          <w:rStyle w:val="19"/>
          <w:rFonts w:hint="eastAsia" w:ascii="仿宋" w:hAnsi="仿宋"/>
        </w:rPr>
        <w:t>工作量及技术要求</w:t>
      </w:r>
      <w:r>
        <w:rPr>
          <w:rFonts w:ascii="仿宋" w:hAnsi="仿宋"/>
        </w:rPr>
        <w:tab/>
      </w:r>
      <w:r>
        <w:rPr>
          <w:rFonts w:ascii="仿宋" w:hAnsi="仿宋"/>
        </w:rPr>
        <w:fldChar w:fldCharType="begin"/>
      </w:r>
      <w:r>
        <w:rPr>
          <w:rFonts w:ascii="仿宋" w:hAnsi="仿宋"/>
        </w:rPr>
        <w:instrText xml:space="preserve"> PAGEREF _Toc132377538 \h </w:instrText>
      </w:r>
      <w:r>
        <w:rPr>
          <w:rFonts w:ascii="仿宋" w:hAnsi="仿宋"/>
        </w:rPr>
        <w:fldChar w:fldCharType="separate"/>
      </w:r>
      <w:r>
        <w:rPr>
          <w:rFonts w:ascii="仿宋" w:hAnsi="仿宋"/>
        </w:rPr>
        <w:t>13</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"_Toc132377539" </w:instrText>
      </w:r>
      <w:r>
        <w:fldChar w:fldCharType="separate"/>
      </w:r>
      <w:r>
        <w:rPr>
          <w:rStyle w:val="19"/>
          <w:rFonts w:ascii="仿宋" w:hAnsi="仿宋"/>
        </w:rPr>
        <w:t>1</w:t>
      </w:r>
      <w:r>
        <w:rPr>
          <w:rStyle w:val="19"/>
          <w:rFonts w:hint="eastAsia" w:ascii="仿宋" w:hAnsi="仿宋"/>
        </w:rPr>
        <w:t>、钻探工作量：</w:t>
      </w:r>
      <w:r>
        <w:rPr>
          <w:rFonts w:ascii="仿宋" w:hAnsi="仿宋"/>
        </w:rPr>
        <w:tab/>
      </w:r>
      <w:r>
        <w:rPr>
          <w:rFonts w:ascii="仿宋" w:hAnsi="仿宋"/>
        </w:rPr>
        <w:fldChar w:fldCharType="begin"/>
      </w:r>
      <w:r>
        <w:rPr>
          <w:rFonts w:ascii="仿宋" w:hAnsi="仿宋"/>
        </w:rPr>
        <w:instrText xml:space="preserve"> PAGEREF _Toc132377539 \h </w:instrText>
      </w:r>
      <w:r>
        <w:rPr>
          <w:rFonts w:ascii="仿宋" w:hAnsi="仿宋"/>
        </w:rPr>
        <w:fldChar w:fldCharType="separate"/>
      </w:r>
      <w:r>
        <w:rPr>
          <w:rFonts w:ascii="仿宋" w:hAnsi="仿宋"/>
        </w:rPr>
        <w:t>13</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"_Toc132377540" </w:instrText>
      </w:r>
      <w:r>
        <w:fldChar w:fldCharType="separate"/>
      </w:r>
      <w:r>
        <w:rPr>
          <w:rStyle w:val="19"/>
          <w:rFonts w:ascii="仿宋" w:hAnsi="仿宋"/>
        </w:rPr>
        <w:t>2</w:t>
      </w:r>
      <w:r>
        <w:rPr>
          <w:rStyle w:val="19"/>
          <w:rFonts w:hint="eastAsia" w:ascii="仿宋" w:hAnsi="仿宋"/>
        </w:rPr>
        <w:t>、工作技术要求</w:t>
      </w:r>
      <w:r>
        <w:rPr>
          <w:rFonts w:ascii="仿宋" w:hAnsi="仿宋"/>
        </w:rPr>
        <w:tab/>
      </w:r>
      <w:r>
        <w:rPr>
          <w:rFonts w:ascii="仿宋" w:hAnsi="仿宋"/>
        </w:rPr>
        <w:fldChar w:fldCharType="begin"/>
      </w:r>
      <w:r>
        <w:rPr>
          <w:rFonts w:ascii="仿宋" w:hAnsi="仿宋"/>
        </w:rPr>
        <w:instrText xml:space="preserve"> PAGEREF _Toc132377540 \h </w:instrText>
      </w:r>
      <w:r>
        <w:rPr>
          <w:rFonts w:ascii="仿宋" w:hAnsi="仿宋"/>
        </w:rPr>
        <w:fldChar w:fldCharType="separate"/>
      </w:r>
      <w:r>
        <w:rPr>
          <w:rFonts w:ascii="仿宋" w:hAnsi="仿宋"/>
        </w:rPr>
        <w:t>13</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"_Toc132377541" </w:instrText>
      </w:r>
      <w:r>
        <w:fldChar w:fldCharType="separate"/>
      </w:r>
      <w:r>
        <w:rPr>
          <w:rStyle w:val="19"/>
          <w:rFonts w:ascii="仿宋" w:hAnsi="仿宋"/>
        </w:rPr>
        <w:t>3</w:t>
      </w:r>
      <w:r>
        <w:rPr>
          <w:rStyle w:val="19"/>
          <w:rFonts w:hint="eastAsia" w:ascii="仿宋" w:hAnsi="仿宋"/>
        </w:rPr>
        <w:t>、施工工期及进度要求</w:t>
      </w:r>
      <w:r>
        <w:rPr>
          <w:rFonts w:ascii="仿宋" w:hAnsi="仿宋"/>
        </w:rPr>
        <w:tab/>
      </w:r>
      <w:r>
        <w:rPr>
          <w:rFonts w:ascii="仿宋" w:hAnsi="仿宋"/>
        </w:rPr>
        <w:fldChar w:fldCharType="begin"/>
      </w:r>
      <w:r>
        <w:rPr>
          <w:rFonts w:ascii="仿宋" w:hAnsi="仿宋"/>
        </w:rPr>
        <w:instrText xml:space="preserve"> PAGEREF _Toc132377541 \h </w:instrText>
      </w:r>
      <w:r>
        <w:rPr>
          <w:rFonts w:ascii="仿宋" w:hAnsi="仿宋"/>
        </w:rPr>
        <w:fldChar w:fldCharType="separate"/>
      </w:r>
      <w:r>
        <w:rPr>
          <w:rFonts w:ascii="仿宋" w:hAnsi="仿宋"/>
        </w:rPr>
        <w:t>14</w:t>
      </w:r>
      <w:r>
        <w:rPr>
          <w:rFonts w:ascii="仿宋" w:hAnsi="仿宋"/>
        </w:rPr>
        <w:fldChar w:fldCharType="end"/>
      </w:r>
      <w:r>
        <w:rPr>
          <w:rFonts w:ascii="仿宋" w:hAnsi="仿宋"/>
        </w:rPr>
        <w:fldChar w:fldCharType="end"/>
      </w:r>
    </w:p>
    <w:p>
      <w:pPr>
        <w:pStyle w:val="13"/>
        <w:tabs>
          <w:tab w:val="right" w:leader="dot" w:pos="9288"/>
        </w:tabs>
        <w:spacing w:line="240" w:lineRule="auto"/>
        <w:ind w:left="480" w:firstLine="480"/>
        <w:rPr>
          <w:rFonts w:ascii="仿宋" w:hAnsi="仿宋" w:cstheme="minorBidi"/>
          <w:sz w:val="21"/>
        </w:rPr>
      </w:pPr>
      <w:r>
        <w:fldChar w:fldCharType="begin"/>
      </w:r>
      <w:r>
        <w:instrText xml:space="preserve"> HYPERLINK \l "_Toc132377542" </w:instrText>
      </w:r>
      <w:r>
        <w:fldChar w:fldCharType="separate"/>
      </w:r>
      <w:r>
        <w:rPr>
          <w:rStyle w:val="19"/>
          <w:rFonts w:ascii="仿宋" w:hAnsi="仿宋"/>
        </w:rPr>
        <w:t>4</w:t>
      </w:r>
      <w:r>
        <w:rPr>
          <w:rStyle w:val="19"/>
          <w:rFonts w:hint="eastAsia" w:ascii="仿宋" w:hAnsi="仿宋"/>
        </w:rPr>
        <w:t>、安全施工要求</w:t>
      </w:r>
      <w:r>
        <w:rPr>
          <w:rFonts w:ascii="仿宋" w:hAnsi="仿宋"/>
        </w:rPr>
        <w:tab/>
      </w:r>
      <w:r>
        <w:rPr>
          <w:rFonts w:ascii="仿宋" w:hAnsi="仿宋"/>
        </w:rPr>
        <w:fldChar w:fldCharType="begin"/>
      </w:r>
      <w:r>
        <w:rPr>
          <w:rFonts w:ascii="仿宋" w:hAnsi="仿宋"/>
        </w:rPr>
        <w:instrText xml:space="preserve"> PAGEREF _Toc132377542 \h </w:instrText>
      </w:r>
      <w:r>
        <w:rPr>
          <w:rFonts w:ascii="仿宋" w:hAnsi="仿宋"/>
        </w:rPr>
        <w:fldChar w:fldCharType="separate"/>
      </w:r>
      <w:r>
        <w:rPr>
          <w:rFonts w:ascii="仿宋" w:hAnsi="仿宋"/>
        </w:rPr>
        <w:t>14</w:t>
      </w:r>
      <w:r>
        <w:rPr>
          <w:rFonts w:ascii="仿宋" w:hAnsi="仿宋"/>
        </w:rPr>
        <w:fldChar w:fldCharType="end"/>
      </w:r>
      <w:r>
        <w:rPr>
          <w:rFonts w:ascii="仿宋" w:hAnsi="仿宋"/>
        </w:rPr>
        <w:fldChar w:fldCharType="end"/>
      </w:r>
    </w:p>
    <w:p>
      <w:pPr>
        <w:pStyle w:val="12"/>
        <w:tabs>
          <w:tab w:val="right" w:leader="dot" w:pos="9288"/>
        </w:tabs>
        <w:spacing w:line="240" w:lineRule="auto"/>
        <w:ind w:firstLine="480"/>
        <w:rPr>
          <w:rFonts w:ascii="仿宋" w:hAnsi="仿宋" w:cstheme="minorBidi"/>
          <w:sz w:val="21"/>
        </w:rPr>
      </w:pPr>
      <w:r>
        <w:fldChar w:fldCharType="begin"/>
      </w:r>
      <w:r>
        <w:instrText xml:space="preserve"> HYPERLINK \l "_Toc132377543" </w:instrText>
      </w:r>
      <w:r>
        <w:fldChar w:fldCharType="separate"/>
      </w:r>
      <w:r>
        <w:rPr>
          <w:rStyle w:val="19"/>
          <w:rFonts w:hint="eastAsia" w:ascii="仿宋" w:hAnsi="仿宋"/>
        </w:rPr>
        <w:t>第五章</w:t>
      </w:r>
      <w:r>
        <w:rPr>
          <w:rStyle w:val="19"/>
          <w:rFonts w:ascii="仿宋" w:hAnsi="仿宋"/>
        </w:rPr>
        <w:t xml:space="preserve">  </w:t>
      </w:r>
      <w:r>
        <w:rPr>
          <w:rStyle w:val="19"/>
          <w:rFonts w:hint="eastAsia" w:ascii="仿宋" w:hAnsi="仿宋"/>
        </w:rPr>
        <w:t>投标文件格式</w:t>
      </w:r>
      <w:r>
        <w:rPr>
          <w:rFonts w:ascii="仿宋" w:hAnsi="仿宋"/>
        </w:rPr>
        <w:tab/>
      </w:r>
      <w:r>
        <w:rPr>
          <w:rFonts w:ascii="仿宋" w:hAnsi="仿宋"/>
        </w:rPr>
        <w:fldChar w:fldCharType="begin"/>
      </w:r>
      <w:r>
        <w:rPr>
          <w:rFonts w:ascii="仿宋" w:hAnsi="仿宋"/>
        </w:rPr>
        <w:instrText xml:space="preserve"> PAGEREF _Toc132377543 \h </w:instrText>
      </w:r>
      <w:r>
        <w:rPr>
          <w:rFonts w:ascii="仿宋" w:hAnsi="仿宋"/>
        </w:rPr>
        <w:fldChar w:fldCharType="separate"/>
      </w:r>
      <w:r>
        <w:rPr>
          <w:rFonts w:ascii="仿宋" w:hAnsi="仿宋"/>
        </w:rPr>
        <w:t>16</w:t>
      </w:r>
      <w:r>
        <w:rPr>
          <w:rFonts w:ascii="仿宋" w:hAnsi="仿宋"/>
        </w:rPr>
        <w:fldChar w:fldCharType="end"/>
      </w:r>
      <w:r>
        <w:rPr>
          <w:rFonts w:ascii="仿宋" w:hAnsi="仿宋"/>
        </w:rPr>
        <w:fldChar w:fldCharType="end"/>
      </w:r>
    </w:p>
    <w:p>
      <w:pPr>
        <w:spacing w:line="240" w:lineRule="auto"/>
        <w:ind w:firstLine="480"/>
        <w:rPr>
          <w:rFonts w:ascii="仿宋" w:hAnsi="仿宋" w:cs="仿宋"/>
        </w:rPr>
      </w:pPr>
      <w:r>
        <w:rPr>
          <w:rFonts w:hint="eastAsia" w:ascii="仿宋" w:hAnsi="仿宋" w:cs="仿宋"/>
        </w:rPr>
        <w:fldChar w:fldCharType="end"/>
      </w:r>
    </w:p>
    <w:p>
      <w:pPr>
        <w:pStyle w:val="3"/>
        <w:spacing w:before="0" w:after="0" w:line="500" w:lineRule="exact"/>
        <w:rPr>
          <w:rFonts w:ascii="仿宋" w:hAnsi="仿宋" w:cs="仿宋"/>
          <w:sz w:val="36"/>
          <w:szCs w:val="36"/>
        </w:rPr>
        <w:sectPr>
          <w:headerReference r:id="rId11" w:type="default"/>
          <w:footerReference r:id="rId12" w:type="default"/>
          <w:pgSz w:w="11906" w:h="16838"/>
          <w:pgMar w:top="1304" w:right="1304" w:bottom="1304" w:left="1304" w:header="851" w:footer="992" w:gutter="0"/>
          <w:cols w:space="720" w:num="1"/>
          <w:docGrid w:type="lines" w:linePitch="321" w:charSpace="0"/>
        </w:sectPr>
      </w:pPr>
      <w:bookmarkStart w:id="15" w:name="_Toc12248"/>
      <w:bookmarkStart w:id="16" w:name="_Toc478368384"/>
    </w:p>
    <w:bookmarkEnd w:id="0"/>
    <w:bookmarkEnd w:id="1"/>
    <w:bookmarkEnd w:id="2"/>
    <w:bookmarkEnd w:id="3"/>
    <w:bookmarkEnd w:id="4"/>
    <w:bookmarkEnd w:id="5"/>
    <w:bookmarkEnd w:id="6"/>
    <w:bookmarkEnd w:id="15"/>
    <w:bookmarkEnd w:id="16"/>
    <w:p>
      <w:pPr>
        <w:pStyle w:val="3"/>
        <w:spacing w:before="0" w:after="0" w:line="500" w:lineRule="exact"/>
        <w:rPr>
          <w:rFonts w:ascii="仿宋" w:hAnsi="仿宋" w:cs="仿宋"/>
          <w:sz w:val="36"/>
          <w:szCs w:val="36"/>
        </w:rPr>
      </w:pPr>
      <w:bookmarkStart w:id="17" w:name="_Toc13630"/>
      <w:bookmarkStart w:id="18" w:name="_Toc31336"/>
      <w:bookmarkStart w:id="19" w:name="_Toc2648"/>
      <w:bookmarkStart w:id="20" w:name="_Toc9143"/>
      <w:bookmarkStart w:id="21" w:name="_Toc3634"/>
      <w:bookmarkStart w:id="22" w:name="_Toc26225"/>
      <w:bookmarkStart w:id="23" w:name="_Toc10728"/>
      <w:bookmarkStart w:id="24" w:name="_Toc132377517"/>
      <w:bookmarkStart w:id="25" w:name="_Toc179632544"/>
      <w:bookmarkStart w:id="26" w:name="_Toc247085687"/>
      <w:bookmarkStart w:id="27" w:name="_Toc246996173"/>
      <w:bookmarkStart w:id="28" w:name="_Toc144974495"/>
      <w:bookmarkStart w:id="29" w:name="_Toc152042303"/>
      <w:bookmarkStart w:id="30" w:name="_Toc152045527"/>
      <w:bookmarkStart w:id="31" w:name="_Toc478368391"/>
      <w:bookmarkStart w:id="32" w:name="_Toc246996916"/>
      <w:r>
        <w:rPr>
          <w:rFonts w:hint="eastAsia" w:ascii="仿宋" w:hAnsi="仿宋" w:cs="仿宋"/>
          <w:sz w:val="36"/>
          <w:szCs w:val="36"/>
        </w:rPr>
        <w:t>第一章  招标公告</w:t>
      </w:r>
      <w:bookmarkEnd w:id="17"/>
      <w:bookmarkEnd w:id="18"/>
      <w:bookmarkEnd w:id="19"/>
      <w:bookmarkEnd w:id="20"/>
      <w:bookmarkEnd w:id="21"/>
      <w:bookmarkEnd w:id="22"/>
      <w:bookmarkEnd w:id="23"/>
      <w:bookmarkEnd w:id="24"/>
    </w:p>
    <w:p>
      <w:pPr>
        <w:ind w:firstLine="480"/>
      </w:pPr>
      <w:bookmarkStart w:id="33" w:name="_Toc30161"/>
      <w:bookmarkStart w:id="34" w:name="_Toc6425"/>
      <w:bookmarkStart w:id="35" w:name="_Toc22103"/>
      <w:bookmarkStart w:id="36" w:name="_Toc13271"/>
      <w:bookmarkStart w:id="37" w:name="_Toc4909"/>
      <w:bookmarkStart w:id="38" w:name="_Toc26100"/>
      <w:bookmarkStart w:id="39" w:name="_Toc3825"/>
      <w:bookmarkStart w:id="40" w:name="_Toc13274"/>
      <w:bookmarkStart w:id="41" w:name="_Toc17444"/>
      <w:bookmarkStart w:id="42" w:name="_Toc8965"/>
      <w:bookmarkStart w:id="43" w:name="_Toc12488"/>
      <w:bookmarkStart w:id="44" w:name="_Toc26997"/>
      <w:bookmarkStart w:id="45" w:name="_Toc132377518"/>
      <w:bookmarkStart w:id="46" w:name="_Toc2543"/>
      <w:bookmarkStart w:id="47" w:name="_Toc21290"/>
      <w:bookmarkStart w:id="48" w:name="_Toc3006"/>
      <w:bookmarkStart w:id="49" w:name="_Hlk97297608"/>
      <w:r>
        <w:rPr>
          <w:rFonts w:hint="eastAsia"/>
        </w:rPr>
        <w:t>本项目为内蒙古第十地质矿产勘查开发有限责任公司承担的宁城县五化镇新房村建筑用玄武岩矿资源储量核实中的钻探工程，现已具备招标条件，现对该项目进行公开招标。招标人为内蒙古第十地质矿产勘查开发有限责任公司。</w:t>
      </w:r>
    </w:p>
    <w:p>
      <w:pPr>
        <w:pStyle w:val="4"/>
        <w:spacing w:after="120"/>
      </w:pPr>
      <w:r>
        <w:t>1</w:t>
      </w:r>
      <w:r>
        <w:rPr>
          <w:rFonts w:hint="eastAsia"/>
        </w:rPr>
        <w:t>、项目概况</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ind w:firstLine="480"/>
      </w:pPr>
      <w:bookmarkStart w:id="50" w:name="_Toc13091"/>
      <w:bookmarkStart w:id="51" w:name="_Toc16851"/>
      <w:bookmarkStart w:id="52" w:name="_Toc132377519"/>
      <w:bookmarkStart w:id="53" w:name="_Toc27414"/>
      <w:bookmarkStart w:id="54" w:name="_Toc21679"/>
      <w:bookmarkStart w:id="55" w:name="_Toc28232"/>
      <w:bookmarkStart w:id="56" w:name="_Toc12239"/>
      <w:bookmarkStart w:id="57" w:name="_Toc19139"/>
      <w:bookmarkStart w:id="58" w:name="_Toc13598"/>
      <w:bookmarkStart w:id="59" w:name="_Toc16869"/>
      <w:bookmarkStart w:id="60" w:name="_Toc24074"/>
      <w:bookmarkStart w:id="61" w:name="_Toc4713"/>
      <w:bookmarkStart w:id="62" w:name="_Toc12913"/>
      <w:bookmarkStart w:id="63" w:name="_Toc12349"/>
      <w:bookmarkStart w:id="64" w:name="_Toc22719"/>
      <w:bookmarkStart w:id="65" w:name="_Toc6189"/>
      <w:r>
        <w:t xml:space="preserve">1.1 </w:t>
      </w:r>
      <w:r>
        <w:rPr>
          <w:rFonts w:hint="eastAsia"/>
        </w:rPr>
        <w:t>项目地址：位于宁城县五化镇新房村建筑用玄武岩矿。</w:t>
      </w:r>
    </w:p>
    <w:p>
      <w:pPr>
        <w:ind w:firstLine="480"/>
      </w:pPr>
      <w:r>
        <w:t xml:space="preserve">1.2 </w:t>
      </w:r>
      <w:r>
        <w:rPr>
          <w:rFonts w:hint="eastAsia"/>
        </w:rPr>
        <w:t>项目名称为“宁城县五化镇新房村建筑用玄武岩矿资源储量核实中的钻探工程”。</w:t>
      </w:r>
      <w:r>
        <w:t xml:space="preserve"> </w:t>
      </w:r>
    </w:p>
    <w:p>
      <w:pPr>
        <w:ind w:firstLine="480"/>
      </w:pPr>
      <w:r>
        <w:t xml:space="preserve">1.3 </w:t>
      </w:r>
      <w:r>
        <w:rPr>
          <w:rFonts w:hint="eastAsia"/>
        </w:rPr>
        <w:t>预计工作量</w:t>
      </w:r>
      <w:r>
        <w:t>3</w:t>
      </w:r>
      <w:r>
        <w:rPr>
          <w:rFonts w:hint="eastAsia"/>
        </w:rPr>
        <w:t>00米。</w:t>
      </w:r>
      <w:r>
        <w:t xml:space="preserve"> </w:t>
      </w:r>
    </w:p>
    <w:p>
      <w:pPr>
        <w:ind w:firstLine="480"/>
      </w:pPr>
      <w:r>
        <w:t xml:space="preserve">1.4 </w:t>
      </w:r>
      <w:r>
        <w:rPr>
          <w:rFonts w:hint="eastAsia"/>
        </w:rPr>
        <w:t>采购方式</w:t>
      </w:r>
      <w:r>
        <w:t xml:space="preserve"> </w:t>
      </w:r>
      <w:r>
        <w:rPr>
          <w:rFonts w:hint="eastAsia"/>
        </w:rPr>
        <w:t>：公开招标。</w:t>
      </w:r>
    </w:p>
    <w:p>
      <w:pPr>
        <w:pStyle w:val="4"/>
        <w:spacing w:after="120"/>
      </w:pPr>
      <w:r>
        <w:t>2</w:t>
      </w:r>
      <w:r>
        <w:rPr>
          <w:rFonts w:hint="eastAsia"/>
        </w:rPr>
        <w:t>、投标人资格要求</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ind w:firstLine="480"/>
      </w:pPr>
      <w:bookmarkStart w:id="66" w:name="_Toc265"/>
      <w:bookmarkStart w:id="67" w:name="_Toc28862"/>
      <w:bookmarkStart w:id="68" w:name="_Toc8339"/>
      <w:bookmarkStart w:id="69" w:name="_Toc3961"/>
      <w:bookmarkStart w:id="70" w:name="_Toc14581"/>
      <w:bookmarkStart w:id="71" w:name="_Toc10588"/>
      <w:bookmarkStart w:id="72" w:name="_Toc19410"/>
      <w:bookmarkStart w:id="73" w:name="_Toc27079"/>
      <w:bookmarkStart w:id="74" w:name="_Toc21473"/>
      <w:bookmarkStart w:id="75" w:name="_Toc9211"/>
      <w:bookmarkStart w:id="76" w:name="_Toc26421"/>
      <w:bookmarkStart w:id="77" w:name="_Toc9931"/>
      <w:bookmarkStart w:id="78" w:name="_Toc16051"/>
      <w:bookmarkStart w:id="79" w:name="_Toc144974483"/>
      <w:bookmarkStart w:id="80" w:name="_Toc152042291"/>
      <w:bookmarkStart w:id="81" w:name="_Toc16210"/>
      <w:bookmarkStart w:id="82" w:name="_Toc10819"/>
      <w:bookmarkStart w:id="83" w:name="_Toc152045515"/>
      <w:bookmarkStart w:id="84" w:name="_Toc407025389"/>
      <w:r>
        <w:t xml:space="preserve">2.1 </w:t>
      </w:r>
      <w:r>
        <w:rPr>
          <w:rFonts w:hint="eastAsia"/>
        </w:rPr>
        <w:t>投标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pPr>
        <w:ind w:firstLine="480"/>
      </w:pPr>
      <w:r>
        <w:t>2.2</w:t>
      </w:r>
      <w:r>
        <w:rPr>
          <w:rFonts w:hint="eastAsia"/>
        </w:rPr>
        <w:t>单位负责人为同一人或者存在直接控股、管理关系供应商，不得同时参加本次招标活动。</w:t>
      </w:r>
    </w:p>
    <w:p>
      <w:pPr>
        <w:ind w:firstLine="480"/>
      </w:pPr>
      <w:r>
        <w:t>2.</w:t>
      </w:r>
      <w:r>
        <w:rPr>
          <w:rFonts w:hint="eastAsia"/>
        </w:rPr>
        <w:t>3</w:t>
      </w:r>
      <w:r>
        <w:t xml:space="preserve">  </w:t>
      </w:r>
      <w:r>
        <w:rPr>
          <w:rFonts w:hint="eastAsia"/>
        </w:rPr>
        <w:t>投标人近三年（2020年</w:t>
      </w:r>
      <w:r>
        <w:t>1</w:t>
      </w:r>
      <w:r>
        <w:rPr>
          <w:rFonts w:hint="eastAsia"/>
        </w:rPr>
        <w:t>月</w:t>
      </w:r>
      <w:r>
        <w:t>1</w:t>
      </w:r>
      <w:r>
        <w:rPr>
          <w:rFonts w:hint="eastAsia"/>
        </w:rPr>
        <w:t>日至今）无重大安全事故或重大质量事故及近三年每年无两起及以上一般事故。</w:t>
      </w:r>
    </w:p>
    <w:p>
      <w:pPr>
        <w:ind w:firstLine="480"/>
      </w:pPr>
      <w:r>
        <w:t>2.</w:t>
      </w:r>
      <w:r>
        <w:rPr>
          <w:rFonts w:hint="eastAsia"/>
        </w:rPr>
        <w:t>4</w:t>
      </w:r>
      <w:r>
        <w:t xml:space="preserve"> </w:t>
      </w:r>
      <w:r>
        <w:rPr>
          <w:rFonts w:hint="eastAsia"/>
        </w:rPr>
        <w:t>投标人为未被列入“信用中国”网站</w:t>
      </w:r>
      <w:r>
        <w:t>(www.creditchina.gov.cn)</w:t>
      </w:r>
      <w:r>
        <w:rPr>
          <w:rFonts w:hint="eastAsia"/>
        </w:rPr>
        <w:t>信用失信被执行人、重大税收违法失信主体。</w:t>
      </w:r>
    </w:p>
    <w:p>
      <w:pPr>
        <w:ind w:firstLine="480"/>
      </w:pPr>
      <w:r>
        <w:t>2.</w:t>
      </w:r>
      <w:r>
        <w:rPr>
          <w:rFonts w:hint="eastAsia"/>
        </w:rPr>
        <w:t>5</w:t>
      </w:r>
      <w:r>
        <w:t>具有履行合同所必须的设备和专业技术能力</w:t>
      </w:r>
      <w:r>
        <w:rPr>
          <w:rFonts w:hint="eastAsia"/>
        </w:rPr>
        <w:t>。</w:t>
      </w:r>
    </w:p>
    <w:p>
      <w:pPr>
        <w:ind w:firstLine="480"/>
      </w:pPr>
      <w:r>
        <w:t>2.6本次招标不接受联合体投标。</w:t>
      </w:r>
    </w:p>
    <w:p>
      <w:pPr>
        <w:ind w:firstLine="480"/>
      </w:pPr>
      <w:r>
        <w:t>2.</w:t>
      </w:r>
      <w:r>
        <w:rPr>
          <w:rFonts w:hint="eastAsia"/>
        </w:rPr>
        <w:t>7本项目采用资格后审。</w:t>
      </w:r>
    </w:p>
    <w:p>
      <w:pPr>
        <w:pStyle w:val="4"/>
        <w:spacing w:after="120"/>
      </w:pPr>
      <w:bookmarkStart w:id="85" w:name="_Toc132377520"/>
      <w:r>
        <w:t>3</w:t>
      </w:r>
      <w:r>
        <w:rPr>
          <w:rFonts w:hint="eastAsia"/>
        </w:rPr>
        <w:t>、招标文件的获取</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ind w:firstLine="480"/>
      </w:pPr>
      <w:bookmarkStart w:id="86" w:name="_Toc25553"/>
      <w:bookmarkStart w:id="87" w:name="_Toc31455"/>
      <w:bookmarkStart w:id="88" w:name="_Toc21023"/>
      <w:bookmarkStart w:id="89" w:name="_Toc29388"/>
      <w:bookmarkStart w:id="90" w:name="_Toc4552"/>
      <w:bookmarkStart w:id="91" w:name="_Toc9681"/>
      <w:bookmarkStart w:id="92" w:name="_Toc15336"/>
      <w:bookmarkStart w:id="93" w:name="_Toc30805"/>
      <w:bookmarkStart w:id="94" w:name="_Toc28408"/>
      <w:bookmarkStart w:id="95" w:name="_Toc1782"/>
      <w:bookmarkStart w:id="96" w:name="_Toc3640"/>
      <w:bookmarkStart w:id="97" w:name="_Toc17729"/>
      <w:bookmarkStart w:id="98" w:name="_Toc3653"/>
      <w:r>
        <w:rPr>
          <w:rFonts w:hint="eastAsia"/>
        </w:rPr>
        <w:t>凡有意参加投标者，请于2023年</w:t>
      </w:r>
      <w:r>
        <w:t>5</w:t>
      </w:r>
      <w:r>
        <w:rPr>
          <w:rFonts w:hint="eastAsia"/>
        </w:rPr>
        <w:t>月8日至</w:t>
      </w:r>
      <w:r>
        <w:t>202</w:t>
      </w:r>
      <w:r>
        <w:rPr>
          <w:rFonts w:hint="eastAsia"/>
        </w:rPr>
        <w:t>3年5月1</w:t>
      </w:r>
      <w:r>
        <w:t>5</w:t>
      </w:r>
      <w:r>
        <w:rPr>
          <w:rFonts w:hint="eastAsia"/>
        </w:rPr>
        <w:t>日，在内蒙古第十地质矿产勘查开发有限责任公司门户网站自行下载。</w:t>
      </w:r>
    </w:p>
    <w:p>
      <w:pPr>
        <w:pStyle w:val="4"/>
        <w:spacing w:after="120"/>
      </w:pPr>
      <w:bookmarkStart w:id="99" w:name="_Toc30219"/>
      <w:bookmarkStart w:id="100" w:name="_Toc29982"/>
      <w:bookmarkStart w:id="101" w:name="_Toc132377521"/>
      <w:r>
        <w:t>4</w:t>
      </w:r>
      <w:r>
        <w:rPr>
          <w:rFonts w:hint="eastAsia"/>
        </w:rPr>
        <w:t>、投标文件的递交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ind w:firstLine="480"/>
      </w:pPr>
      <w:r>
        <w:rPr>
          <w:rFonts w:hint="eastAsia"/>
        </w:rPr>
        <w:t>投标文件递交的截止时间：</w:t>
      </w:r>
      <w:r>
        <w:t>202</w:t>
      </w:r>
      <w:r>
        <w:rPr>
          <w:rFonts w:hint="eastAsia"/>
        </w:rPr>
        <w:t>3年5月</w:t>
      </w:r>
      <w:r>
        <w:t>19</w:t>
      </w:r>
      <w:r>
        <w:rPr>
          <w:rFonts w:hint="eastAsia"/>
        </w:rPr>
        <w:t>日下午</w:t>
      </w:r>
      <w:r>
        <w:t>17</w:t>
      </w:r>
      <w:r>
        <w:rPr>
          <w:rFonts w:hint="eastAsia"/>
        </w:rPr>
        <w:t>时</w:t>
      </w:r>
      <w:r>
        <w:t>30</w:t>
      </w:r>
      <w:r>
        <w:rPr>
          <w:rFonts w:hint="eastAsia"/>
        </w:rPr>
        <w:t>分。投标文件递交的地点：邮寄至内蒙古第十地质矿产勘查开发有限责任公司（</w:t>
      </w:r>
      <w:r>
        <w:t>704</w:t>
      </w:r>
      <w:r>
        <w:rPr>
          <w:rFonts w:hint="eastAsia"/>
        </w:rPr>
        <w:t>室）逾期送达的或者未送达指定地点的投标文件，招标人不予受理。</w:t>
      </w:r>
    </w:p>
    <w:p>
      <w:pPr>
        <w:pStyle w:val="4"/>
        <w:spacing w:after="120"/>
      </w:pPr>
      <w:bookmarkStart w:id="102" w:name="_Toc12161"/>
      <w:bookmarkStart w:id="103" w:name="_Toc22462"/>
      <w:bookmarkStart w:id="104" w:name="_Toc132377522"/>
      <w:r>
        <w:t>5</w:t>
      </w:r>
      <w:r>
        <w:rPr>
          <w:rFonts w:hint="eastAsia"/>
        </w:rPr>
        <w:t>、开标时间及地点</w:t>
      </w:r>
      <w:bookmarkEnd w:id="102"/>
      <w:bookmarkEnd w:id="103"/>
      <w:bookmarkEnd w:id="104"/>
    </w:p>
    <w:p>
      <w:pPr>
        <w:ind w:firstLine="480"/>
      </w:pPr>
      <w:r>
        <w:rPr>
          <w:rFonts w:hint="eastAsia"/>
        </w:rPr>
        <w:t>开标时间：2023年</w:t>
      </w:r>
      <w:r>
        <w:t>5</w:t>
      </w:r>
      <w:r>
        <w:rPr>
          <w:rFonts w:hint="eastAsia"/>
        </w:rPr>
        <w:t>月</w:t>
      </w:r>
      <w:r>
        <w:t>22</w:t>
      </w:r>
      <w:r>
        <w:rPr>
          <w:rFonts w:hint="eastAsia"/>
        </w:rPr>
        <w:t>日下午</w:t>
      </w:r>
      <w:r>
        <w:t>15</w:t>
      </w:r>
      <w:r>
        <w:rPr>
          <w:rFonts w:hint="eastAsia"/>
        </w:rPr>
        <w:t>时</w:t>
      </w:r>
      <w:r>
        <w:t>30</w:t>
      </w:r>
      <w:r>
        <w:rPr>
          <w:rFonts w:hint="eastAsia"/>
        </w:rPr>
        <w:t>分。</w:t>
      </w:r>
    </w:p>
    <w:p>
      <w:pPr>
        <w:ind w:firstLine="480"/>
      </w:pPr>
      <w:r>
        <w:rPr>
          <w:rFonts w:hint="eastAsia"/>
        </w:rPr>
        <w:t>开标地点：内蒙古第十地质矿产勘查开发有限责任公司七楼会议室</w:t>
      </w:r>
    </w:p>
    <w:p>
      <w:pPr>
        <w:pStyle w:val="4"/>
        <w:spacing w:after="120"/>
      </w:pPr>
      <w:bookmarkStart w:id="105" w:name="_Toc7191"/>
      <w:bookmarkStart w:id="106" w:name="_Toc29422"/>
      <w:bookmarkStart w:id="107" w:name="_Toc10352"/>
      <w:bookmarkStart w:id="108" w:name="_Toc5241"/>
      <w:bookmarkStart w:id="109" w:name="_Toc10308"/>
      <w:bookmarkStart w:id="110" w:name="_Toc5740"/>
      <w:bookmarkStart w:id="111" w:name="_Toc10157"/>
      <w:bookmarkStart w:id="112" w:name="_Toc20098"/>
      <w:bookmarkStart w:id="113" w:name="_Toc132377523"/>
      <w:r>
        <w:t>6</w:t>
      </w:r>
      <w:r>
        <w:rPr>
          <w:rFonts w:hint="eastAsia"/>
        </w:rPr>
        <w:t>、公告发布媒介</w:t>
      </w:r>
      <w:bookmarkEnd w:id="105"/>
      <w:bookmarkEnd w:id="106"/>
      <w:bookmarkEnd w:id="107"/>
      <w:bookmarkEnd w:id="108"/>
      <w:bookmarkEnd w:id="109"/>
      <w:bookmarkEnd w:id="110"/>
      <w:bookmarkEnd w:id="111"/>
      <w:bookmarkEnd w:id="112"/>
      <w:bookmarkEnd w:id="113"/>
    </w:p>
    <w:p>
      <w:pPr>
        <w:ind w:firstLine="480"/>
      </w:pPr>
      <w:r>
        <w:rPr>
          <w:rFonts w:hint="eastAsia"/>
        </w:rPr>
        <w:t>本项目招标公告在内蒙古第十地质矿产勘查开发有限责任公司门户网张发布。其它媒介转发无效。</w:t>
      </w:r>
    </w:p>
    <w:p>
      <w:pPr>
        <w:pStyle w:val="4"/>
        <w:spacing w:after="120"/>
      </w:pPr>
      <w:bookmarkStart w:id="114" w:name="_Toc10248"/>
      <w:bookmarkStart w:id="115" w:name="_Toc16057"/>
      <w:bookmarkStart w:id="116" w:name="_Toc31509"/>
      <w:bookmarkStart w:id="117" w:name="_Toc24256"/>
      <w:bookmarkStart w:id="118" w:name="_Toc22066"/>
      <w:bookmarkStart w:id="119" w:name="_Toc26817"/>
      <w:bookmarkStart w:id="120" w:name="_Toc25369"/>
      <w:bookmarkStart w:id="121" w:name="_Toc952"/>
      <w:bookmarkStart w:id="122" w:name="_Toc19537"/>
      <w:bookmarkStart w:id="123" w:name="_Toc2163"/>
      <w:bookmarkStart w:id="124" w:name="_Toc32536"/>
      <w:bookmarkStart w:id="125" w:name="_Toc3257"/>
      <w:bookmarkStart w:id="126" w:name="_Toc7837"/>
      <w:bookmarkStart w:id="127" w:name="_Toc2774"/>
      <w:bookmarkStart w:id="128" w:name="_Toc17963"/>
      <w:bookmarkStart w:id="129" w:name="_Toc132377524"/>
      <w:r>
        <w:t>7</w:t>
      </w:r>
      <w:r>
        <w:rPr>
          <w:rFonts w:hint="eastAsia"/>
        </w:rPr>
        <w:t>、联系方式</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ind w:firstLine="480"/>
      </w:pPr>
      <w:r>
        <w:rPr>
          <w:rFonts w:hint="eastAsia"/>
        </w:rPr>
        <w:t>招</w:t>
      </w:r>
      <w:r>
        <w:t xml:space="preserve"> </w:t>
      </w:r>
      <w:r>
        <w:rPr>
          <w:rFonts w:hint="eastAsia"/>
        </w:rPr>
        <w:t>标</w:t>
      </w:r>
      <w:r>
        <w:t xml:space="preserve"> </w:t>
      </w:r>
      <w:r>
        <w:rPr>
          <w:rFonts w:hint="eastAsia"/>
        </w:rPr>
        <w:t>人：内蒙古第十地质矿产勘查开发有限责任公司</w:t>
      </w:r>
    </w:p>
    <w:p>
      <w:pPr>
        <w:ind w:firstLine="480"/>
      </w:pPr>
      <w:r>
        <w:rPr>
          <w:rFonts w:hint="eastAsia"/>
        </w:rPr>
        <w:t>地</w:t>
      </w:r>
      <w:r>
        <w:t xml:space="preserve">    </w:t>
      </w:r>
      <w:r>
        <w:rPr>
          <w:rFonts w:hint="eastAsia"/>
        </w:rPr>
        <w:t>址：内蒙古赤峰松山区王府大街东段地勘十院</w:t>
      </w:r>
    </w:p>
    <w:p>
      <w:pPr>
        <w:ind w:firstLine="480"/>
      </w:pPr>
      <w:r>
        <w:rPr>
          <w:rFonts w:hint="eastAsia"/>
        </w:rPr>
        <w:t>联</w:t>
      </w:r>
      <w:r>
        <w:t xml:space="preserve"> </w:t>
      </w:r>
      <w:r>
        <w:rPr>
          <w:rFonts w:hint="eastAsia"/>
        </w:rPr>
        <w:t>系</w:t>
      </w:r>
      <w:r>
        <w:t xml:space="preserve"> </w:t>
      </w:r>
      <w:r>
        <w:rPr>
          <w:rFonts w:hint="eastAsia"/>
        </w:rPr>
        <w:t>人：卢主任</w:t>
      </w:r>
      <w:r>
        <w:t xml:space="preserve">                   </w:t>
      </w:r>
    </w:p>
    <w:p>
      <w:pPr>
        <w:ind w:firstLine="480"/>
      </w:pPr>
      <w:r>
        <w:rPr>
          <w:rFonts w:hint="eastAsia"/>
        </w:rPr>
        <w:t>电</w:t>
      </w:r>
      <w:r>
        <w:t xml:space="preserve">    </w:t>
      </w:r>
      <w:r>
        <w:rPr>
          <w:rFonts w:hint="eastAsia"/>
        </w:rPr>
        <w:t>话：</w:t>
      </w:r>
      <w:r>
        <w:t xml:space="preserve">15104763515          </w:t>
      </w:r>
    </w:p>
    <w:p>
      <w:pPr>
        <w:ind w:firstLine="480"/>
      </w:pPr>
      <w:r>
        <w:rPr>
          <w:rFonts w:hint="eastAsia"/>
        </w:rPr>
        <w:t>邮</w:t>
      </w:r>
      <w:r>
        <w:t xml:space="preserve">    </w:t>
      </w:r>
      <w:r>
        <w:rPr>
          <w:rFonts w:hint="eastAsia"/>
        </w:rPr>
        <w:t>箱：</w:t>
      </w:r>
      <w:r>
        <w:t>442121016@qq.com</w:t>
      </w:r>
    </w:p>
    <w:p>
      <w:pPr>
        <w:ind w:firstLine="480"/>
      </w:pPr>
      <w:r>
        <w:rPr>
          <w:rFonts w:hint="eastAsia"/>
        </w:rPr>
        <w:t>开</w:t>
      </w:r>
      <w:r>
        <w:t xml:space="preserve"> </w:t>
      </w:r>
      <w:r>
        <w:rPr>
          <w:rFonts w:hint="eastAsia"/>
        </w:rPr>
        <w:t>户</w:t>
      </w:r>
      <w:r>
        <w:t xml:space="preserve"> </w:t>
      </w:r>
      <w:r>
        <w:rPr>
          <w:rFonts w:hint="eastAsia"/>
        </w:rPr>
        <w:t>行：农行赤峰松山红城分理处</w:t>
      </w:r>
    </w:p>
    <w:p>
      <w:pPr>
        <w:ind w:firstLine="480"/>
      </w:pPr>
      <w:r>
        <w:rPr>
          <w:rFonts w:hint="eastAsia"/>
        </w:rPr>
        <w:t>账</w:t>
      </w:r>
      <w:r>
        <w:t xml:space="preserve">    </w:t>
      </w:r>
      <w:r>
        <w:rPr>
          <w:rFonts w:hint="eastAsia"/>
        </w:rPr>
        <w:t>号：</w:t>
      </w:r>
      <w:r>
        <w:t>05241301040002025</w:t>
      </w:r>
    </w:p>
    <w:p>
      <w:pPr>
        <w:ind w:firstLine="480"/>
      </w:pPr>
      <w:r>
        <w:rPr>
          <w:rFonts w:hint="eastAsia"/>
        </w:rPr>
        <w:t xml:space="preserve">    </w:t>
      </w:r>
    </w:p>
    <w:bookmarkEnd w:id="49"/>
    <w:p>
      <w:pPr>
        <w:tabs>
          <w:tab w:val="left" w:pos="6663"/>
        </w:tabs>
        <w:spacing w:line="500" w:lineRule="exact"/>
        <w:ind w:firstLine="480"/>
        <w:rPr>
          <w:rFonts w:ascii="仿宋" w:hAnsi="仿宋" w:cs="仿宋"/>
        </w:rPr>
      </w:pPr>
      <w:bookmarkStart w:id="130" w:name="_Toc4676"/>
      <w:bookmarkStart w:id="131" w:name="_Toc26306"/>
      <w:bookmarkStart w:id="132" w:name="_Toc13473"/>
      <w:bookmarkStart w:id="133" w:name="_Toc3660"/>
      <w:bookmarkStart w:id="134" w:name="_Toc3262"/>
      <w:bookmarkStart w:id="135" w:name="_Toc15250"/>
      <w:bookmarkStart w:id="136" w:name="_Toc25182"/>
    </w:p>
    <w:p>
      <w:pPr>
        <w:tabs>
          <w:tab w:val="left" w:pos="6663"/>
        </w:tabs>
        <w:spacing w:line="500" w:lineRule="exact"/>
        <w:ind w:firstLine="480"/>
        <w:rPr>
          <w:rFonts w:ascii="仿宋" w:hAnsi="仿宋" w:cs="仿宋"/>
        </w:rPr>
      </w:pPr>
    </w:p>
    <w:p>
      <w:pPr>
        <w:tabs>
          <w:tab w:val="left" w:pos="6663"/>
        </w:tabs>
        <w:spacing w:line="500" w:lineRule="exact"/>
        <w:ind w:firstLine="480"/>
        <w:rPr>
          <w:rFonts w:ascii="仿宋" w:hAnsi="仿宋" w:cs="仿宋"/>
        </w:rPr>
      </w:pPr>
    </w:p>
    <w:p>
      <w:pPr>
        <w:tabs>
          <w:tab w:val="left" w:pos="6663"/>
        </w:tabs>
        <w:spacing w:line="500" w:lineRule="exact"/>
        <w:ind w:firstLine="480"/>
        <w:rPr>
          <w:rFonts w:ascii="仿宋" w:hAnsi="仿宋" w:cs="仿宋"/>
        </w:rPr>
      </w:pPr>
    </w:p>
    <w:p>
      <w:pPr>
        <w:tabs>
          <w:tab w:val="left" w:pos="6663"/>
        </w:tabs>
        <w:spacing w:line="500" w:lineRule="exact"/>
        <w:ind w:firstLine="480"/>
        <w:rPr>
          <w:rFonts w:ascii="仿宋" w:hAnsi="仿宋" w:cs="仿宋"/>
        </w:rPr>
      </w:pPr>
    </w:p>
    <w:p>
      <w:pPr>
        <w:tabs>
          <w:tab w:val="left" w:pos="6663"/>
        </w:tabs>
        <w:spacing w:line="500" w:lineRule="exact"/>
        <w:ind w:firstLine="480"/>
        <w:rPr>
          <w:rFonts w:ascii="仿宋" w:hAnsi="仿宋" w:cs="仿宋"/>
        </w:rPr>
        <w:sectPr>
          <w:footerReference r:id="rId13" w:type="default"/>
          <w:pgSz w:w="11906" w:h="16838"/>
          <w:pgMar w:top="993" w:right="1304" w:bottom="1135" w:left="1304" w:header="851" w:footer="992" w:gutter="0"/>
          <w:pgNumType w:start="1"/>
          <w:cols w:space="720" w:num="1"/>
          <w:docGrid w:type="lines" w:linePitch="321" w:charSpace="0"/>
        </w:sectPr>
      </w:pPr>
    </w:p>
    <w:bookmarkEnd w:id="130"/>
    <w:bookmarkEnd w:id="131"/>
    <w:bookmarkEnd w:id="132"/>
    <w:bookmarkEnd w:id="133"/>
    <w:bookmarkEnd w:id="134"/>
    <w:bookmarkEnd w:id="135"/>
    <w:bookmarkEnd w:id="136"/>
    <w:p>
      <w:pPr>
        <w:pStyle w:val="3"/>
        <w:numPr>
          <w:ilvl w:val="0"/>
          <w:numId w:val="1"/>
        </w:numPr>
      </w:pPr>
      <w:bookmarkStart w:id="137" w:name="_Toc16821"/>
      <w:bookmarkStart w:id="138" w:name="_Toc32031"/>
      <w:bookmarkStart w:id="139" w:name="_Toc881"/>
      <w:bookmarkStart w:id="140" w:name="_Toc15641"/>
      <w:bookmarkStart w:id="141" w:name="_Toc29955"/>
      <w:bookmarkStart w:id="142" w:name="_Toc10100"/>
      <w:r>
        <w:rPr>
          <w:rFonts w:hint="eastAsia"/>
        </w:rPr>
        <w:t xml:space="preserve"> </w:t>
      </w:r>
      <w:bookmarkStart w:id="143" w:name="_Toc32632"/>
      <w:bookmarkStart w:id="144" w:name="_Toc132377525"/>
      <w:r>
        <w:rPr>
          <w:rFonts w:hint="eastAsia"/>
        </w:rPr>
        <w:t>投标人须知</w:t>
      </w:r>
      <w:bookmarkEnd w:id="25"/>
      <w:bookmarkEnd w:id="26"/>
      <w:bookmarkEnd w:id="27"/>
      <w:bookmarkEnd w:id="28"/>
      <w:bookmarkEnd w:id="29"/>
      <w:bookmarkEnd w:id="30"/>
      <w:bookmarkEnd w:id="31"/>
      <w:bookmarkEnd w:id="32"/>
      <w:bookmarkEnd w:id="137"/>
      <w:bookmarkEnd w:id="138"/>
      <w:bookmarkEnd w:id="139"/>
      <w:bookmarkEnd w:id="140"/>
      <w:bookmarkEnd w:id="141"/>
      <w:bookmarkEnd w:id="142"/>
      <w:bookmarkEnd w:id="143"/>
      <w:bookmarkEnd w:id="144"/>
    </w:p>
    <w:p>
      <w:pPr>
        <w:pStyle w:val="4"/>
      </w:pPr>
      <w:bookmarkStart w:id="145" w:name="_Toc132377526"/>
      <w:bookmarkStart w:id="146" w:name="_Toc5202"/>
      <w:r>
        <w:rPr>
          <w:rFonts w:hint="eastAsia"/>
        </w:rPr>
        <w:t>1、投标人须知附表</w:t>
      </w:r>
      <w:bookmarkEnd w:id="145"/>
      <w:bookmarkEnd w:id="146"/>
    </w:p>
    <w:tbl>
      <w:tblPr>
        <w:tblStyle w:val="16"/>
        <w:tblW w:w="0" w:type="auto"/>
        <w:jc w:val="center"/>
        <w:tblLayout w:type="fixed"/>
        <w:tblCellMar>
          <w:top w:w="0" w:type="dxa"/>
          <w:left w:w="108" w:type="dxa"/>
          <w:bottom w:w="0" w:type="dxa"/>
          <w:right w:w="108" w:type="dxa"/>
        </w:tblCellMar>
      </w:tblPr>
      <w:tblGrid>
        <w:gridCol w:w="1008"/>
        <w:gridCol w:w="1535"/>
        <w:gridCol w:w="870"/>
        <w:gridCol w:w="5946"/>
      </w:tblGrid>
      <w:tr>
        <w:tblPrEx>
          <w:tblCellMar>
            <w:top w:w="0" w:type="dxa"/>
            <w:left w:w="108" w:type="dxa"/>
            <w:bottom w:w="0" w:type="dxa"/>
            <w:right w:w="108" w:type="dxa"/>
          </w:tblCellMar>
        </w:tblPrEx>
        <w:trPr>
          <w:trHeight w:val="668"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b/>
                <w:bCs w:val="0"/>
              </w:rPr>
            </w:pPr>
            <w:bookmarkStart w:id="147" w:name="_Toc152042304"/>
            <w:bookmarkStart w:id="148" w:name="_Toc144974496"/>
            <w:bookmarkStart w:id="149" w:name="_Toc152045528"/>
            <w:bookmarkStart w:id="150" w:name="_Toc246996917"/>
            <w:bookmarkStart w:id="151" w:name="_Toc246996174"/>
            <w:bookmarkStart w:id="152" w:name="_Toc247085688"/>
            <w:bookmarkStart w:id="153" w:name="_Toc179632545"/>
            <w:bookmarkStart w:id="154" w:name="_Toc478368392"/>
            <w:r>
              <w:rPr>
                <w:b/>
                <w:bCs w:val="0"/>
              </w:rPr>
              <w:t>条款号</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b/>
                <w:bCs w:val="0"/>
              </w:rPr>
            </w:pPr>
            <w:r>
              <w:rPr>
                <w:b/>
                <w:bCs w:val="0"/>
              </w:rPr>
              <w:t>条  款  名  称</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rPr>
                <w:rFonts w:hint="default"/>
                <w:b/>
                <w:bCs w:val="0"/>
              </w:rPr>
            </w:pPr>
            <w:r>
              <w:rPr>
                <w:b/>
                <w:bCs w:val="0"/>
              </w:rPr>
              <w:t>编  列  内  容</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1.1.2</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招标人</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名    称：内蒙古第十地质矿产勘查开发有限责任公司</w:t>
            </w:r>
          </w:p>
          <w:p>
            <w:pPr>
              <w:pStyle w:val="32"/>
              <w:jc w:val="left"/>
              <w:rPr>
                <w:rFonts w:hint="default"/>
              </w:rPr>
            </w:pPr>
            <w:r>
              <w:t>地    址：内蒙赤峰王府大街东段地勘十院</w:t>
            </w:r>
          </w:p>
          <w:p>
            <w:pPr>
              <w:pStyle w:val="32"/>
              <w:jc w:val="left"/>
              <w:rPr>
                <w:rFonts w:hint="default"/>
              </w:rPr>
            </w:pPr>
            <w:r>
              <w:t xml:space="preserve">联 系 人：卢主任       </w:t>
            </w:r>
          </w:p>
          <w:p>
            <w:pPr>
              <w:pStyle w:val="32"/>
              <w:jc w:val="left"/>
              <w:rPr>
                <w:rFonts w:hint="default"/>
              </w:rPr>
            </w:pPr>
            <w:r>
              <w:t>电    话：15104763515</w:t>
            </w:r>
          </w:p>
          <w:p>
            <w:pPr>
              <w:pStyle w:val="32"/>
              <w:jc w:val="left"/>
              <w:rPr>
                <w:rFonts w:hint="default"/>
              </w:rPr>
            </w:pPr>
            <w:r>
              <w:t>邮    箱：442121016@qq.com</w:t>
            </w:r>
            <w:r>
              <w:fldChar w:fldCharType="begin"/>
            </w:r>
            <w:r>
              <w:instrText xml:space="preserve"> HYPERLINK "mailto:zzwz-a@163.com" </w:instrText>
            </w:r>
            <w:r>
              <w:fldChar w:fldCharType="separate"/>
            </w:r>
            <w:r>
              <w:fldChar w:fldCharType="end"/>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1.1.3</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项目名称</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宁城县五化镇新房村建筑用玄武岩矿资源储量核实中的钻探工程</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1.1.4</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建设地点</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宁城县五化镇新房村建筑用玄武岩矿区内</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1.2.1</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资金来源</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企业自筹</w:t>
            </w:r>
          </w:p>
        </w:tc>
      </w:tr>
      <w:tr>
        <w:tblPrEx>
          <w:tblCellMar>
            <w:top w:w="0" w:type="dxa"/>
            <w:left w:w="108" w:type="dxa"/>
            <w:bottom w:w="0" w:type="dxa"/>
            <w:right w:w="108" w:type="dxa"/>
          </w:tblCellMar>
        </w:tblPrEx>
        <w:trPr>
          <w:trHeight w:val="6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1.3.1</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招标范围</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宁城县五化镇新房村建筑用玄武岩矿资源储量核实中的钻探工程，设计工程量</w:t>
            </w:r>
            <w:r>
              <w:rPr>
                <w:rFonts w:hint="default"/>
              </w:rPr>
              <w:t>3</w:t>
            </w:r>
            <w:r>
              <w:t>00m。该工程量为设计工程量，在具体施工过程中将由招标单位项目管理人员根据现场施工条件和实际建矿情况，进行钻孔位置、钻孔倾角、钻孔数量、施工深度、施工顺序、计划安排等方面的适当调整，调整工程内容以招标单位的变更设计为准。具体范围详见“第四章工程概况及技术要求”。</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1.3.2</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工期要求</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color w:val="000000" w:themeColor="text1"/>
              </w:rPr>
            </w:pPr>
            <w:r>
              <w:rPr>
                <w:color w:val="000000" w:themeColor="text1"/>
              </w:rPr>
              <w:t>计划竣工日期：2023年</w:t>
            </w:r>
            <w:r>
              <w:rPr>
                <w:rFonts w:hint="default"/>
                <w:color w:val="000000" w:themeColor="text1"/>
              </w:rPr>
              <w:t>9</w:t>
            </w:r>
            <w:r>
              <w:rPr>
                <w:color w:val="000000" w:themeColor="text1"/>
              </w:rPr>
              <w:t>月30日前</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1.3.3</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质量要求</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测斜、水文观测资料齐全；封孔恢复场地，符合国家相关地质钻探质量要求。</w:t>
            </w:r>
          </w:p>
        </w:tc>
      </w:tr>
      <w:tr>
        <w:tblPrEx>
          <w:tblCellMar>
            <w:top w:w="0" w:type="dxa"/>
            <w:left w:w="108" w:type="dxa"/>
            <w:bottom w:w="0" w:type="dxa"/>
            <w:right w:w="108" w:type="dxa"/>
          </w:tblCellMar>
        </w:tblPrEx>
        <w:trPr>
          <w:trHeight w:val="69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1.4.1</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投标人资质条件、</w:t>
            </w:r>
          </w:p>
          <w:p>
            <w:pPr>
              <w:pStyle w:val="32"/>
              <w:rPr>
                <w:rFonts w:hint="default"/>
              </w:rPr>
            </w:pPr>
            <w:r>
              <w:t>能力</w:t>
            </w:r>
          </w:p>
        </w:tc>
        <w:tc>
          <w:tcPr>
            <w:tcW w:w="594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pPr>
            <w:r>
              <w:t>1.</w:t>
            </w:r>
            <w:r>
              <w:rPr>
                <w:rFonts w:hint="eastAsia"/>
              </w:rPr>
              <w:t>投标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pPr>
              <w:spacing w:line="240" w:lineRule="auto"/>
              <w:ind w:firstLine="0" w:firstLineChars="0"/>
            </w:pPr>
            <w:r>
              <w:t>2</w:t>
            </w:r>
            <w:r>
              <w:rPr>
                <w:rFonts w:hint="eastAsia"/>
              </w:rPr>
              <w:t>.单位负责人为同一人或者存在直接控股、管理关系供应商，不得同时参加本次招标活动。</w:t>
            </w:r>
          </w:p>
          <w:p>
            <w:pPr>
              <w:spacing w:line="240" w:lineRule="auto"/>
              <w:ind w:firstLine="0" w:firstLineChars="0"/>
            </w:pPr>
            <w:r>
              <w:rPr>
                <w:rFonts w:hint="eastAsia"/>
              </w:rPr>
              <w:t>3.投标人近三年（</w:t>
            </w:r>
            <w:r>
              <w:t>20</w:t>
            </w:r>
            <w:r>
              <w:rPr>
                <w:rFonts w:hint="eastAsia"/>
              </w:rPr>
              <w:t>20年</w:t>
            </w:r>
            <w:r>
              <w:t>1</w:t>
            </w:r>
            <w:r>
              <w:rPr>
                <w:rFonts w:hint="eastAsia"/>
              </w:rPr>
              <w:t>月</w:t>
            </w:r>
            <w:r>
              <w:t>1</w:t>
            </w:r>
            <w:r>
              <w:rPr>
                <w:rFonts w:hint="eastAsia"/>
              </w:rPr>
              <w:t>日至今）无重大安全事故或重大质量事故及近三年每年无两起及以上一般事故。</w:t>
            </w:r>
          </w:p>
          <w:p>
            <w:pPr>
              <w:pStyle w:val="32"/>
              <w:jc w:val="left"/>
              <w:rPr>
                <w:rFonts w:hint="default"/>
              </w:rPr>
            </w:pPr>
            <w:r>
              <w:t>4.投标人为未被列入“信用中国”网站(www.creditchina.gov.cn)信用失信被执行人、重大税收违法失信主体。</w:t>
            </w:r>
          </w:p>
          <w:p>
            <w:pPr>
              <w:pStyle w:val="32"/>
              <w:jc w:val="left"/>
              <w:rPr>
                <w:rFonts w:hint="default"/>
              </w:rPr>
            </w:pPr>
            <w:r>
              <w:t>5.具有履行合同所必须的设备和专业技术能力。</w:t>
            </w:r>
          </w:p>
          <w:p>
            <w:pPr>
              <w:pStyle w:val="32"/>
              <w:jc w:val="left"/>
              <w:rPr>
                <w:rFonts w:hint="default"/>
              </w:rPr>
            </w:pPr>
            <w:r>
              <w:t>6.本次招标不接受联合体投标。</w:t>
            </w:r>
          </w:p>
        </w:tc>
      </w:tr>
      <w:tr>
        <w:tblPrEx>
          <w:tblCellMar>
            <w:top w:w="0" w:type="dxa"/>
            <w:left w:w="108" w:type="dxa"/>
            <w:bottom w:w="0" w:type="dxa"/>
            <w:right w:w="108" w:type="dxa"/>
          </w:tblCellMar>
        </w:tblPrEx>
        <w:trPr>
          <w:trHeight w:val="9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1.5.1</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踏勘现场</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不组织，自行踏勘现场。</w:t>
            </w:r>
          </w:p>
        </w:tc>
      </w:tr>
      <w:tr>
        <w:tblPrEx>
          <w:tblCellMar>
            <w:top w:w="0" w:type="dxa"/>
            <w:left w:w="108" w:type="dxa"/>
            <w:bottom w:w="0" w:type="dxa"/>
            <w:right w:w="108" w:type="dxa"/>
          </w:tblCellMar>
        </w:tblPrEx>
        <w:trPr>
          <w:trHeight w:val="45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1.6.1</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投标预备会</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不召开</w:t>
            </w:r>
          </w:p>
        </w:tc>
      </w:tr>
      <w:tr>
        <w:tblPrEx>
          <w:tblCellMar>
            <w:top w:w="0" w:type="dxa"/>
            <w:left w:w="108" w:type="dxa"/>
            <w:bottom w:w="0" w:type="dxa"/>
            <w:right w:w="108" w:type="dxa"/>
          </w:tblCellMar>
        </w:tblPrEx>
        <w:trPr>
          <w:trHeight w:val="348"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1.7</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偏离</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不允许</w:t>
            </w:r>
          </w:p>
        </w:tc>
      </w:tr>
      <w:tr>
        <w:tblPrEx>
          <w:tblCellMar>
            <w:top w:w="0" w:type="dxa"/>
            <w:left w:w="108" w:type="dxa"/>
            <w:bottom w:w="0" w:type="dxa"/>
            <w:right w:w="108" w:type="dxa"/>
          </w:tblCellMar>
        </w:tblPrEx>
        <w:trPr>
          <w:trHeight w:val="87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2.1</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构成招标文件的其他材料</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本项目的招标答疑、变更及补充通知等</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2.2.1</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投标截止时间</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2023年</w:t>
            </w:r>
            <w:r>
              <w:rPr>
                <w:rFonts w:hint="default"/>
              </w:rPr>
              <w:t>5</w:t>
            </w:r>
            <w:r>
              <w:t>月</w:t>
            </w:r>
            <w:r>
              <w:rPr>
                <w:rFonts w:hint="default"/>
              </w:rPr>
              <w:t>19</w:t>
            </w:r>
            <w:r>
              <w:t>日下午17时30分</w:t>
            </w:r>
          </w:p>
        </w:tc>
      </w:tr>
      <w:tr>
        <w:tblPrEx>
          <w:tblCellMar>
            <w:top w:w="0" w:type="dxa"/>
            <w:left w:w="108" w:type="dxa"/>
            <w:bottom w:w="0" w:type="dxa"/>
            <w:right w:w="108" w:type="dxa"/>
          </w:tblCellMar>
        </w:tblPrEx>
        <w:trPr>
          <w:trHeight w:val="9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rPr>
                <w:rFonts w:hint="default"/>
              </w:rPr>
            </w:pPr>
            <w:r>
              <w:t>2.2.2</w:t>
            </w:r>
          </w:p>
        </w:tc>
        <w:tc>
          <w:tcPr>
            <w:tcW w:w="24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2"/>
              <w:rPr>
                <w:rFonts w:hint="default"/>
              </w:rPr>
            </w:pPr>
            <w:r>
              <w:t>构成投标文件的其他材料</w:t>
            </w:r>
          </w:p>
        </w:tc>
        <w:tc>
          <w:tcPr>
            <w:tcW w:w="59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2"/>
              <w:jc w:val="left"/>
              <w:rPr>
                <w:rFonts w:hint="default"/>
              </w:rPr>
            </w:pPr>
            <w:r>
              <w:t>投标人自行提供的相关资料。</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2.2.3</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投标报价</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公开招标，采用一次报价方式</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2.3.2</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投标有效期</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90日历天</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3.1.1</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近三年</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指2020、2021、2022年度。</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3.2.3</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签字或盖章要求</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投标文件应加盖投标人印章并由法定代表人或其授权代理人签字或盖章。由授权代理人签字或盖章的在投标文件中必须同时提交法人授权委托书，授权委托书格式签字、盖章及内容均应符合后附格式要求，否则无效。</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3.3.1</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投标文件副本份数</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正本一份，副本四份</w:t>
            </w:r>
          </w:p>
        </w:tc>
      </w:tr>
      <w:tr>
        <w:tblPrEx>
          <w:tblCellMar>
            <w:top w:w="0" w:type="dxa"/>
            <w:left w:w="108" w:type="dxa"/>
            <w:bottom w:w="0" w:type="dxa"/>
            <w:right w:w="108" w:type="dxa"/>
          </w:tblCellMar>
        </w:tblPrEx>
        <w:trPr>
          <w:trHeight w:val="7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3.4</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装订要求</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投标文件应规格统一、采用A4规格（或装订成A4规格），采用胶装方式装订，装订应牢固，不易拆散和换页，不得采用活页装订。</w:t>
            </w:r>
          </w:p>
          <w:p>
            <w:pPr>
              <w:pStyle w:val="32"/>
              <w:jc w:val="left"/>
              <w:rPr>
                <w:rFonts w:hint="default"/>
              </w:rPr>
            </w:pPr>
            <w:r>
              <w:t>密封要求：投标人应将投标文件的正本和所有副本密封。</w:t>
            </w:r>
          </w:p>
        </w:tc>
      </w:tr>
      <w:tr>
        <w:tblPrEx>
          <w:tblCellMar>
            <w:top w:w="0" w:type="dxa"/>
            <w:left w:w="108" w:type="dxa"/>
            <w:bottom w:w="0" w:type="dxa"/>
            <w:right w:w="108" w:type="dxa"/>
          </w:tblCellMar>
        </w:tblPrEx>
        <w:trPr>
          <w:trHeight w:val="7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3.4.1</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封套上应载明</w:t>
            </w:r>
          </w:p>
          <w:p>
            <w:pPr>
              <w:pStyle w:val="32"/>
              <w:rPr>
                <w:rFonts w:hint="default"/>
              </w:rPr>
            </w:pPr>
            <w:r>
              <w:t>的信息</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项目名称：</w:t>
            </w:r>
          </w:p>
          <w:p>
            <w:pPr>
              <w:pStyle w:val="32"/>
              <w:jc w:val="left"/>
              <w:rPr>
                <w:rFonts w:hint="default"/>
              </w:rPr>
            </w:pPr>
            <w:r>
              <w:t>投标人名称：</w:t>
            </w:r>
          </w:p>
          <w:p>
            <w:pPr>
              <w:pStyle w:val="32"/>
              <w:jc w:val="left"/>
              <w:rPr>
                <w:rFonts w:hint="default"/>
              </w:rPr>
            </w:pPr>
            <w:r>
              <w:t>投标人地址：</w:t>
            </w:r>
          </w:p>
          <w:p>
            <w:pPr>
              <w:pStyle w:val="32"/>
              <w:jc w:val="left"/>
              <w:rPr>
                <w:rFonts w:hint="default"/>
              </w:rPr>
            </w:pPr>
            <w:r>
              <w:t>……在2023年</w:t>
            </w:r>
            <w:r>
              <w:rPr>
                <w:rFonts w:hint="default"/>
              </w:rPr>
              <w:t>5</w:t>
            </w:r>
            <w:r>
              <w:t>月</w:t>
            </w:r>
            <w:r>
              <w:rPr>
                <w:rFonts w:hint="default"/>
              </w:rPr>
              <w:t>22</w:t>
            </w:r>
            <w:r>
              <w:t>日15时30分前不得开启……</w:t>
            </w:r>
          </w:p>
        </w:tc>
      </w:tr>
      <w:tr>
        <w:tblPrEx>
          <w:tblCellMar>
            <w:top w:w="0" w:type="dxa"/>
            <w:left w:w="108" w:type="dxa"/>
            <w:bottom w:w="0" w:type="dxa"/>
            <w:right w:w="108" w:type="dxa"/>
          </w:tblCellMar>
        </w:tblPrEx>
        <w:trPr>
          <w:trHeight w:val="668"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3.6.3</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递交投标文件地点</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内蒙第十地质矿产勘查开发有限责任公司704室</w:t>
            </w:r>
          </w:p>
        </w:tc>
      </w:tr>
      <w:tr>
        <w:tblPrEx>
          <w:tblCellMar>
            <w:top w:w="0" w:type="dxa"/>
            <w:left w:w="108" w:type="dxa"/>
            <w:bottom w:w="0" w:type="dxa"/>
            <w:right w:w="108" w:type="dxa"/>
          </w:tblCellMar>
        </w:tblPrEx>
        <w:trPr>
          <w:trHeight w:val="59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3.6.4</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是否退还投标文件</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否</w:t>
            </w:r>
          </w:p>
        </w:tc>
      </w:tr>
      <w:tr>
        <w:tblPrEx>
          <w:tblCellMar>
            <w:top w:w="0" w:type="dxa"/>
            <w:left w:w="108" w:type="dxa"/>
            <w:bottom w:w="0" w:type="dxa"/>
            <w:right w:w="108" w:type="dxa"/>
          </w:tblCellMar>
        </w:tblPrEx>
        <w:trPr>
          <w:trHeight w:val="46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3.6.5</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开标时间和地点</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开标时间：2023年</w:t>
            </w:r>
            <w:r>
              <w:rPr>
                <w:rFonts w:hint="default"/>
              </w:rPr>
              <w:t>5</w:t>
            </w:r>
            <w:r>
              <w:t>月</w:t>
            </w:r>
            <w:r>
              <w:rPr>
                <w:rFonts w:hint="default"/>
              </w:rPr>
              <w:t>22</w:t>
            </w:r>
            <w:r>
              <w:t>日15时30分</w:t>
            </w:r>
          </w:p>
          <w:p>
            <w:pPr>
              <w:pStyle w:val="32"/>
              <w:jc w:val="left"/>
              <w:rPr>
                <w:rFonts w:hint="default"/>
              </w:rPr>
            </w:pPr>
            <w:r>
              <w:t>开标地点：内蒙第十地质矿产勘查开发有限责任公司七楼会议室</w:t>
            </w:r>
          </w:p>
        </w:tc>
      </w:tr>
      <w:tr>
        <w:tblPrEx>
          <w:tblCellMar>
            <w:top w:w="0" w:type="dxa"/>
            <w:left w:w="108" w:type="dxa"/>
            <w:bottom w:w="0" w:type="dxa"/>
            <w:right w:w="108" w:type="dxa"/>
          </w:tblCellMar>
        </w:tblPrEx>
        <w:trPr>
          <w:trHeight w:val="1028"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4.1.2</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开标程序</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1.密封情况检查：由投标人授权代表检查</w:t>
            </w:r>
          </w:p>
          <w:p>
            <w:pPr>
              <w:pStyle w:val="32"/>
              <w:jc w:val="left"/>
              <w:rPr>
                <w:rFonts w:hint="default"/>
              </w:rPr>
            </w:pPr>
            <w:r>
              <w:t>2.开标顺序：按递交标书的正顺序</w:t>
            </w:r>
          </w:p>
        </w:tc>
      </w:tr>
      <w:tr>
        <w:tblPrEx>
          <w:tblCellMar>
            <w:top w:w="0" w:type="dxa"/>
            <w:left w:w="108" w:type="dxa"/>
            <w:bottom w:w="0" w:type="dxa"/>
            <w:right w:w="108" w:type="dxa"/>
          </w:tblCellMar>
        </w:tblPrEx>
        <w:trPr>
          <w:trHeight w:val="55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4.2.2</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评标委员会的组建</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评标委员会构成：5人。</w:t>
            </w:r>
          </w:p>
          <w:p>
            <w:pPr>
              <w:pStyle w:val="32"/>
              <w:jc w:val="left"/>
              <w:rPr>
                <w:rFonts w:hint="default"/>
              </w:rPr>
            </w:pPr>
            <w:r>
              <w:t>评标专家确定方式：由地勘十公司地勘部代表、法务代表、财务代表、审计代表、企管代表组成。</w:t>
            </w:r>
          </w:p>
        </w:tc>
      </w:tr>
      <w:tr>
        <w:tblPrEx>
          <w:tblCellMar>
            <w:top w:w="0" w:type="dxa"/>
            <w:left w:w="108" w:type="dxa"/>
            <w:bottom w:w="0" w:type="dxa"/>
            <w:right w:w="108" w:type="dxa"/>
          </w:tblCellMar>
        </w:tblPrEx>
        <w:trPr>
          <w:trHeight w:val="47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4.2.3</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pStyle w:val="32"/>
              <w:rPr>
                <w:rFonts w:hint="default"/>
              </w:rPr>
            </w:pPr>
            <w:r>
              <w:t>是否授权评标委员会确定中标人</w:t>
            </w:r>
          </w:p>
        </w:tc>
        <w:tc>
          <w:tcPr>
            <w:tcW w:w="5946" w:type="dxa"/>
            <w:tcBorders>
              <w:top w:val="single" w:color="auto" w:sz="4" w:space="0"/>
              <w:left w:val="single" w:color="auto" w:sz="4" w:space="0"/>
              <w:bottom w:val="single" w:color="auto" w:sz="4" w:space="0"/>
              <w:right w:val="single" w:color="auto" w:sz="4" w:space="0"/>
            </w:tcBorders>
            <w:vAlign w:val="center"/>
          </w:tcPr>
          <w:p>
            <w:pPr>
              <w:pStyle w:val="32"/>
              <w:jc w:val="left"/>
              <w:rPr>
                <w:rFonts w:hint="default"/>
              </w:rPr>
            </w:pPr>
            <w:r>
              <w:t>否。</w:t>
            </w:r>
          </w:p>
        </w:tc>
      </w:tr>
      <w:tr>
        <w:tblPrEx>
          <w:tblCellMar>
            <w:top w:w="0" w:type="dxa"/>
            <w:left w:w="108" w:type="dxa"/>
            <w:bottom w:w="0" w:type="dxa"/>
            <w:right w:w="108" w:type="dxa"/>
          </w:tblCellMar>
        </w:tblPrEx>
        <w:trPr>
          <w:trHeight w:val="90" w:hRule="atLeast"/>
          <w:jc w:val="center"/>
        </w:trPr>
        <w:tc>
          <w:tcPr>
            <w:tcW w:w="1008" w:type="dxa"/>
            <w:tcBorders>
              <w:top w:val="single" w:color="auto" w:sz="4" w:space="0"/>
              <w:left w:val="single" w:color="auto" w:sz="4" w:space="0"/>
              <w:right w:val="single" w:color="auto" w:sz="4" w:space="0"/>
            </w:tcBorders>
            <w:vAlign w:val="center"/>
          </w:tcPr>
          <w:p>
            <w:pPr>
              <w:pStyle w:val="32"/>
              <w:rPr>
                <w:rFonts w:hint="default"/>
              </w:rPr>
            </w:pPr>
            <w:r>
              <w:t>5</w:t>
            </w:r>
          </w:p>
        </w:tc>
        <w:tc>
          <w:tcPr>
            <w:tcW w:w="8351" w:type="dxa"/>
            <w:gridSpan w:val="3"/>
            <w:tcBorders>
              <w:top w:val="single" w:color="auto" w:sz="4" w:space="0"/>
              <w:left w:val="single" w:color="auto" w:sz="4" w:space="0"/>
              <w:bottom w:val="single" w:color="auto" w:sz="4" w:space="0"/>
              <w:right w:val="single" w:color="auto" w:sz="4" w:space="0"/>
            </w:tcBorders>
            <w:vAlign w:val="center"/>
          </w:tcPr>
          <w:p>
            <w:pPr>
              <w:pStyle w:val="32"/>
              <w:rPr>
                <w:rFonts w:hint="default"/>
              </w:rPr>
            </w:pPr>
            <w:r>
              <w:t>需要补充的其他内容</w:t>
            </w:r>
          </w:p>
        </w:tc>
      </w:tr>
      <w:tr>
        <w:tblPrEx>
          <w:tblCellMar>
            <w:top w:w="0" w:type="dxa"/>
            <w:left w:w="108" w:type="dxa"/>
            <w:bottom w:w="0" w:type="dxa"/>
            <w:right w:w="108" w:type="dxa"/>
          </w:tblCellMar>
        </w:tblPrEx>
        <w:trPr>
          <w:jc w:val="center"/>
        </w:trPr>
        <w:tc>
          <w:tcPr>
            <w:tcW w:w="9359" w:type="dxa"/>
            <w:gridSpan w:val="4"/>
            <w:tcBorders>
              <w:top w:val="single" w:color="auto" w:sz="4" w:space="0"/>
              <w:left w:val="single" w:color="auto" w:sz="4" w:space="0"/>
              <w:bottom w:val="single" w:color="auto" w:sz="4" w:space="0"/>
              <w:right w:val="single" w:color="auto" w:sz="4" w:space="0"/>
            </w:tcBorders>
            <w:vAlign w:val="center"/>
          </w:tcPr>
          <w:p>
            <w:pPr>
              <w:pStyle w:val="32"/>
              <w:rPr>
                <w:rFonts w:hint="default"/>
              </w:rPr>
            </w:pPr>
            <w:r>
              <w:t>5.1词语定义</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5.1.1</w:t>
            </w:r>
          </w:p>
        </w:tc>
        <w:tc>
          <w:tcPr>
            <w:tcW w:w="1535" w:type="dxa"/>
            <w:tcBorders>
              <w:top w:val="single" w:color="auto" w:sz="4" w:space="0"/>
              <w:left w:val="single" w:color="auto" w:sz="4" w:space="0"/>
              <w:bottom w:val="single" w:color="auto" w:sz="4" w:space="0"/>
              <w:right w:val="single" w:color="auto" w:sz="4" w:space="0"/>
            </w:tcBorders>
            <w:vAlign w:val="center"/>
          </w:tcPr>
          <w:p>
            <w:pPr>
              <w:pStyle w:val="32"/>
              <w:rPr>
                <w:rFonts w:hint="default"/>
              </w:rPr>
            </w:pPr>
            <w:r>
              <w:t>类似项目</w:t>
            </w:r>
          </w:p>
        </w:tc>
        <w:tc>
          <w:tcPr>
            <w:tcW w:w="6816" w:type="dxa"/>
            <w:gridSpan w:val="2"/>
            <w:tcBorders>
              <w:top w:val="single" w:color="auto" w:sz="4" w:space="0"/>
              <w:left w:val="single" w:color="auto" w:sz="4" w:space="0"/>
              <w:bottom w:val="single" w:color="auto" w:sz="4" w:space="0"/>
              <w:right w:val="single" w:color="auto" w:sz="4" w:space="0"/>
            </w:tcBorders>
          </w:tcPr>
          <w:p>
            <w:pPr>
              <w:pStyle w:val="32"/>
              <w:jc w:val="left"/>
              <w:rPr>
                <w:rFonts w:hint="default"/>
              </w:rPr>
            </w:pPr>
            <w:r>
              <w:rPr>
                <w:rFonts w:hint="default"/>
              </w:rPr>
              <w:t>钻探施工类项目</w:t>
            </w:r>
          </w:p>
        </w:tc>
      </w:tr>
      <w:bookmarkEnd w:id="147"/>
      <w:bookmarkEnd w:id="148"/>
      <w:bookmarkEnd w:id="149"/>
      <w:bookmarkEnd w:id="150"/>
      <w:bookmarkEnd w:id="151"/>
      <w:bookmarkEnd w:id="152"/>
      <w:bookmarkEnd w:id="153"/>
      <w:bookmarkEnd w:id="154"/>
    </w:tbl>
    <w:p>
      <w:pPr>
        <w:pStyle w:val="4"/>
      </w:pPr>
      <w:bookmarkStart w:id="155" w:name="_Toc32044"/>
      <w:bookmarkStart w:id="156" w:name="_Toc5042"/>
      <w:bookmarkStart w:id="157" w:name="_Toc247085701"/>
      <w:bookmarkStart w:id="158" w:name="_Toc4924"/>
      <w:bookmarkStart w:id="159" w:name="_Toc144974510"/>
      <w:bookmarkStart w:id="160" w:name="_Toc246996930"/>
      <w:bookmarkStart w:id="161" w:name="_Toc478368405"/>
      <w:bookmarkStart w:id="162" w:name="_Toc23865"/>
      <w:bookmarkStart w:id="163" w:name="_Toc152042318"/>
      <w:bookmarkStart w:id="164" w:name="_Toc246996187"/>
      <w:bookmarkStart w:id="165" w:name="_Toc179632560"/>
      <w:bookmarkStart w:id="166" w:name="_Toc152045542"/>
      <w:bookmarkStart w:id="167" w:name="_Toc20007"/>
      <w:bookmarkStart w:id="168" w:name="_Toc132377527"/>
      <w:r>
        <w:rPr>
          <w:rFonts w:hint="eastAsia"/>
        </w:rPr>
        <w:t>2、招标文件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pStyle w:val="2"/>
        <w:ind w:firstLine="482"/>
      </w:pPr>
      <w:bookmarkStart w:id="169" w:name="_Toc6839"/>
      <w:bookmarkStart w:id="170" w:name="_Toc152045543"/>
      <w:bookmarkStart w:id="171" w:name="_Toc478368406"/>
      <w:bookmarkStart w:id="172" w:name="_Toc144974511"/>
      <w:bookmarkStart w:id="173" w:name="_Toc246996188"/>
      <w:bookmarkStart w:id="174" w:name="_Toc246996931"/>
      <w:bookmarkStart w:id="175" w:name="_Toc179632561"/>
      <w:bookmarkStart w:id="176" w:name="_Toc474515402"/>
      <w:bookmarkStart w:id="177" w:name="_Toc20870"/>
      <w:bookmarkStart w:id="178" w:name="_Toc152042319"/>
      <w:bookmarkStart w:id="179" w:name="_Toc19583"/>
      <w:bookmarkStart w:id="180" w:name="_Toc15969"/>
      <w:bookmarkStart w:id="181" w:name="_Toc25720"/>
      <w:bookmarkStart w:id="182" w:name="_Toc247085702"/>
      <w:bookmarkStart w:id="183" w:name="_Toc20018"/>
      <w:bookmarkStart w:id="184" w:name="_Toc20681"/>
      <w:bookmarkStart w:id="185" w:name="_Toc478369010"/>
      <w:r>
        <w:rPr>
          <w:rFonts w:hint="eastAsia"/>
        </w:rPr>
        <w:t>2.1 招标文件的组成</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ind w:firstLine="480"/>
      </w:pPr>
      <w:r>
        <w:rPr>
          <w:rFonts w:hint="eastAsia"/>
        </w:rPr>
        <w:t>2.1.1 本招标文件包括：</w:t>
      </w:r>
    </w:p>
    <w:p>
      <w:pPr>
        <w:ind w:firstLine="480"/>
      </w:pPr>
      <w:r>
        <w:rPr>
          <w:rFonts w:hint="eastAsia"/>
        </w:rPr>
        <w:t>第一章 招标公告</w:t>
      </w:r>
    </w:p>
    <w:p>
      <w:pPr>
        <w:ind w:firstLine="480"/>
      </w:pPr>
      <w:r>
        <w:rPr>
          <w:rFonts w:hint="eastAsia"/>
        </w:rPr>
        <w:t>第二章 投标人须知</w:t>
      </w:r>
    </w:p>
    <w:p>
      <w:pPr>
        <w:ind w:firstLine="480"/>
      </w:pPr>
      <w:r>
        <w:rPr>
          <w:rFonts w:hint="eastAsia"/>
        </w:rPr>
        <w:t>第三章 评标办法</w:t>
      </w:r>
    </w:p>
    <w:p>
      <w:pPr>
        <w:ind w:firstLine="480"/>
      </w:pPr>
      <w:r>
        <w:rPr>
          <w:rFonts w:hint="eastAsia"/>
        </w:rPr>
        <w:t xml:space="preserve">第四章 工作量及技术要求 </w:t>
      </w:r>
    </w:p>
    <w:p>
      <w:pPr>
        <w:ind w:firstLine="480"/>
      </w:pPr>
      <w:r>
        <w:rPr>
          <w:rFonts w:hint="eastAsia"/>
        </w:rPr>
        <w:t>第五章 投标文件格式</w:t>
      </w:r>
    </w:p>
    <w:p>
      <w:pPr>
        <w:pStyle w:val="4"/>
      </w:pPr>
      <w:bookmarkStart w:id="186" w:name="_Toc16161"/>
      <w:bookmarkStart w:id="187" w:name="_Toc246996191"/>
      <w:bookmarkStart w:id="188" w:name="_Toc26449"/>
      <w:bookmarkStart w:id="189" w:name="_Toc247085705"/>
      <w:bookmarkStart w:id="190" w:name="_Toc4311"/>
      <w:bookmarkStart w:id="191" w:name="_Toc1137"/>
      <w:bookmarkStart w:id="192" w:name="_Toc478368409"/>
      <w:bookmarkStart w:id="193" w:name="_Toc32566"/>
      <w:bookmarkStart w:id="194" w:name="_Toc246996934"/>
      <w:bookmarkStart w:id="195" w:name="_Toc14157"/>
      <w:bookmarkStart w:id="196" w:name="_Toc152042322"/>
      <w:bookmarkStart w:id="197" w:name="_Toc152045546"/>
      <w:bookmarkStart w:id="198" w:name="_Toc144974514"/>
      <w:bookmarkStart w:id="199" w:name="_Toc179632564"/>
      <w:bookmarkStart w:id="200" w:name="_Toc132377528"/>
      <w:r>
        <w:rPr>
          <w:rFonts w:hint="eastAsia"/>
        </w:rPr>
        <w:t>3、投标文件</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pStyle w:val="2"/>
        <w:ind w:firstLine="482"/>
      </w:pPr>
      <w:bookmarkStart w:id="201" w:name="_Toc478368410"/>
      <w:bookmarkStart w:id="202" w:name="_Toc246996192"/>
      <w:bookmarkStart w:id="203" w:name="_Toc13533"/>
      <w:bookmarkStart w:id="204" w:name="_Toc246996935"/>
      <w:bookmarkStart w:id="205" w:name="_Toc179632565"/>
      <w:bookmarkStart w:id="206" w:name="_Toc10295"/>
      <w:bookmarkStart w:id="207" w:name="_Toc32124"/>
      <w:bookmarkStart w:id="208" w:name="_Toc247085706"/>
      <w:bookmarkStart w:id="209" w:name="_Toc474515406"/>
      <w:bookmarkStart w:id="210" w:name="_Toc7568"/>
      <w:bookmarkStart w:id="211" w:name="_Toc152042323"/>
      <w:bookmarkStart w:id="212" w:name="_Toc17119"/>
      <w:bookmarkStart w:id="213" w:name="_Toc152045547"/>
      <w:bookmarkStart w:id="214" w:name="_Toc478369014"/>
      <w:bookmarkStart w:id="215" w:name="_Toc26550"/>
      <w:bookmarkStart w:id="216" w:name="_Toc144974515"/>
      <w:r>
        <w:rPr>
          <w:rFonts w:hint="eastAsia"/>
        </w:rPr>
        <w:t>3.1 投标文件的组成</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ind w:firstLine="480"/>
      </w:pPr>
      <w:r>
        <w:rPr>
          <w:rFonts w:hint="eastAsia"/>
        </w:rPr>
        <w:t>3.1.1 投标文件应包括下列内容：</w:t>
      </w:r>
    </w:p>
    <w:p>
      <w:pPr>
        <w:ind w:firstLine="480"/>
      </w:pPr>
      <w:r>
        <w:rPr>
          <w:rFonts w:hint="eastAsia"/>
        </w:rPr>
        <w:t>投标函及投标函附录；</w:t>
      </w:r>
    </w:p>
    <w:p>
      <w:pPr>
        <w:ind w:firstLine="480"/>
      </w:pPr>
      <w:r>
        <w:rPr>
          <w:rFonts w:hint="eastAsia"/>
        </w:rPr>
        <w:t>法定代表人身份证明（授权其他人办理的另需授权委托书）；</w:t>
      </w:r>
    </w:p>
    <w:p>
      <w:pPr>
        <w:ind w:firstLine="480"/>
      </w:pPr>
      <w:r>
        <w:rPr>
          <w:rFonts w:hint="eastAsia"/>
        </w:rPr>
        <w:t>授权委托书；</w:t>
      </w:r>
    </w:p>
    <w:p>
      <w:pPr>
        <w:ind w:firstLine="480"/>
      </w:pPr>
      <w:r>
        <w:rPr>
          <w:rFonts w:hint="eastAsia"/>
        </w:rPr>
        <w:t>资格审查材料；</w:t>
      </w:r>
    </w:p>
    <w:p>
      <w:pPr>
        <w:ind w:firstLine="480"/>
      </w:pPr>
      <w:r>
        <w:rPr>
          <w:rFonts w:hint="eastAsia"/>
        </w:rPr>
        <w:t>投标报价；</w:t>
      </w:r>
    </w:p>
    <w:p>
      <w:pPr>
        <w:ind w:firstLine="480"/>
      </w:pPr>
      <w:r>
        <w:rPr>
          <w:rFonts w:hint="eastAsia"/>
        </w:rPr>
        <w:t xml:space="preserve">投标人业绩；    </w:t>
      </w:r>
    </w:p>
    <w:p>
      <w:pPr>
        <w:pStyle w:val="2"/>
        <w:ind w:firstLine="482"/>
      </w:pPr>
      <w:bookmarkStart w:id="217" w:name="_Toc144974516"/>
      <w:bookmarkStart w:id="218" w:name="_Toc6903"/>
      <w:bookmarkStart w:id="219" w:name="_Toc3010"/>
      <w:bookmarkStart w:id="220" w:name="_Toc179632566"/>
      <w:bookmarkStart w:id="221" w:name="_Toc22211"/>
      <w:bookmarkStart w:id="222" w:name="_Toc478368411"/>
      <w:bookmarkStart w:id="223" w:name="_Toc474515407"/>
      <w:bookmarkStart w:id="224" w:name="_Toc478369015"/>
      <w:bookmarkStart w:id="225" w:name="_Toc246996193"/>
      <w:bookmarkStart w:id="226" w:name="_Toc246996936"/>
      <w:bookmarkStart w:id="227" w:name="_Toc11443"/>
      <w:bookmarkStart w:id="228" w:name="_Toc16790"/>
      <w:bookmarkStart w:id="229" w:name="_Toc152045548"/>
      <w:bookmarkStart w:id="230" w:name="_Toc152042324"/>
      <w:bookmarkStart w:id="231" w:name="_Toc9184"/>
      <w:bookmarkStart w:id="232" w:name="_Toc247085707"/>
      <w:bookmarkStart w:id="233" w:name="_Toc14278"/>
      <w:r>
        <w:rPr>
          <w:rFonts w:hint="eastAsia"/>
        </w:rPr>
        <w:t>3.2 投标报价</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ind w:firstLine="480"/>
      </w:pPr>
      <w:r>
        <w:rPr>
          <w:rFonts w:hint="eastAsia"/>
        </w:rPr>
        <w:t>3.2.1 投标人应根据设计文件、工程量清单、市场价格信息及有关规定，结合本工程特点及施工方案，进行报价。如招标人认为投标单位报价超出本项目投资额或高于市场合理价格，招标人有权否认本次招标结果。</w:t>
      </w:r>
    </w:p>
    <w:p>
      <w:pPr>
        <w:ind w:firstLine="480"/>
      </w:pPr>
      <w:r>
        <w:rPr>
          <w:rFonts w:hint="eastAsia"/>
        </w:rPr>
        <w:t>3.2.2 工程费用</w:t>
      </w:r>
    </w:p>
    <w:p>
      <w:pPr>
        <w:ind w:firstLine="480"/>
      </w:pPr>
      <w:r>
        <w:rPr>
          <w:rFonts w:hint="eastAsia"/>
        </w:rPr>
        <w:t>采用全费用综合单价(元/m)报价，固定单价合同。</w:t>
      </w:r>
    </w:p>
    <w:p>
      <w:pPr>
        <w:ind w:firstLine="480"/>
      </w:pPr>
      <w:r>
        <w:rPr>
          <w:rFonts w:hint="eastAsia"/>
        </w:rPr>
        <w:t>全费用内容包括人工费、材料费（包括绿色勘查材料）、施工机具使用费、管理费、用电费、用水费、利润、规费、税金和风险费等全部费用；</w:t>
      </w:r>
    </w:p>
    <w:p>
      <w:pPr>
        <w:ind w:firstLine="480"/>
      </w:pPr>
      <w:r>
        <w:rPr>
          <w:rFonts w:hint="eastAsia"/>
        </w:rPr>
        <w:t>工作内容包括施工进场道路修筑、作业人员及施工机具迁移费、施工场地的地盘平整、钻机搬迁、安装、绿色勘查、机械钻进、取芯、护壁、岩芯装箱搬运、填写班报表、测深、测斜、简易水文地质观测、封孔；施工结束后场地恢复、废物清理、环境治理等工作。</w:t>
      </w:r>
    </w:p>
    <w:p>
      <w:pPr>
        <w:ind w:firstLine="480"/>
      </w:pPr>
      <w:r>
        <w:rPr>
          <w:rFonts w:hint="eastAsia"/>
        </w:rPr>
        <w:t>3.2.3 投标报价应该是招标文件所确定的招标范围工作内容的价格体现。投标人在中标后提出的任何调整标价或增加合同款项用以调整标价的要求，招标人均不予接受。</w:t>
      </w:r>
    </w:p>
    <w:p>
      <w:pPr>
        <w:ind w:firstLine="480"/>
      </w:pPr>
      <w:r>
        <w:rPr>
          <w:rFonts w:hint="eastAsia"/>
        </w:rPr>
        <w:t>3.2.4 最低报价不是被授予合同的唯一保证，投标人不得以低于成本或明显高于市场价的报价恶意投标。</w:t>
      </w:r>
    </w:p>
    <w:p>
      <w:pPr>
        <w:ind w:firstLine="480"/>
      </w:pPr>
      <w:r>
        <w:rPr>
          <w:rFonts w:hint="eastAsia"/>
        </w:rPr>
        <w:t>3.2.5 投标人在投标截止时间前修改投标函中的投标报价，应同时修改各项相应报价。</w:t>
      </w:r>
    </w:p>
    <w:p>
      <w:pPr>
        <w:ind w:firstLine="480"/>
      </w:pPr>
      <w:r>
        <w:rPr>
          <w:rFonts w:hint="eastAsia"/>
        </w:rPr>
        <w:t>3.2.6 投标人应根据招标人提供的招标文件认真编制投标文件。</w:t>
      </w:r>
    </w:p>
    <w:p>
      <w:pPr>
        <w:ind w:firstLine="480"/>
      </w:pPr>
      <w:r>
        <w:rPr>
          <w:rFonts w:hint="eastAsia"/>
        </w:rPr>
        <w:t>3.2.7 投标人根据本须知规定综合考虑投标单价，并不限制招标人以上述任何条件订立合同的权力。</w:t>
      </w:r>
    </w:p>
    <w:p>
      <w:pPr>
        <w:ind w:firstLine="480"/>
      </w:pPr>
      <w:r>
        <w:rPr>
          <w:rFonts w:hint="eastAsia"/>
        </w:rPr>
        <w:t>3.2.</w:t>
      </w:r>
      <w:bookmarkStart w:id="234" w:name="_Toc152042325"/>
      <w:bookmarkStart w:id="235" w:name="_Toc179632567"/>
      <w:bookmarkStart w:id="236" w:name="_Toc144974517"/>
      <w:bookmarkStart w:id="237" w:name="_Toc152045549"/>
      <w:r>
        <w:rPr>
          <w:rFonts w:hint="eastAsia"/>
        </w:rPr>
        <w:t>8 投标人应充分考虑当地高寒的其他气候因素。</w:t>
      </w:r>
    </w:p>
    <w:p>
      <w:pPr>
        <w:pStyle w:val="2"/>
        <w:ind w:firstLine="482"/>
      </w:pPr>
      <w:r>
        <w:rPr>
          <w:rFonts w:hint="eastAsia"/>
        </w:rPr>
        <w:t>3.3 投标有效期</w:t>
      </w:r>
    </w:p>
    <w:p>
      <w:pPr>
        <w:ind w:firstLine="480"/>
      </w:pPr>
      <w:r>
        <w:rPr>
          <w:rFonts w:hint="eastAsia"/>
        </w:rPr>
        <w:t>投标有效期：90日历天</w:t>
      </w:r>
    </w:p>
    <w:bookmarkEnd w:id="234"/>
    <w:bookmarkEnd w:id="235"/>
    <w:bookmarkEnd w:id="236"/>
    <w:bookmarkEnd w:id="237"/>
    <w:p>
      <w:pPr>
        <w:pStyle w:val="2"/>
        <w:ind w:firstLine="482"/>
      </w:pPr>
      <w:bookmarkStart w:id="238" w:name="_Toc20922"/>
      <w:bookmarkStart w:id="239" w:name="_Toc478368415"/>
      <w:bookmarkStart w:id="240" w:name="_Toc20260"/>
      <w:bookmarkStart w:id="241" w:name="_Toc24083"/>
      <w:bookmarkStart w:id="242" w:name="_Toc16545"/>
      <w:bookmarkStart w:id="243" w:name="_Toc19838"/>
      <w:bookmarkStart w:id="244" w:name="_Toc478369019"/>
      <w:bookmarkStart w:id="245" w:name="_Toc2454"/>
      <w:bookmarkStart w:id="246" w:name="_Toc13540"/>
      <w:bookmarkStart w:id="247" w:name="_Toc474515411"/>
      <w:bookmarkStart w:id="248" w:name="_Toc246996940"/>
      <w:bookmarkStart w:id="249" w:name="_Toc247085711"/>
      <w:bookmarkStart w:id="250" w:name="_Toc246996197"/>
      <w:bookmarkStart w:id="251" w:name="_Toc144974521"/>
      <w:bookmarkStart w:id="252" w:name="_Toc179632571"/>
      <w:bookmarkStart w:id="253" w:name="_Toc152042329"/>
      <w:bookmarkStart w:id="254" w:name="_Toc152045553"/>
      <w:r>
        <w:rPr>
          <w:rFonts w:hint="eastAsia"/>
        </w:rPr>
        <w:t>3.4 投标文件的编制</w:t>
      </w:r>
      <w:bookmarkEnd w:id="238"/>
      <w:bookmarkEnd w:id="239"/>
      <w:bookmarkEnd w:id="240"/>
      <w:bookmarkEnd w:id="241"/>
      <w:bookmarkEnd w:id="242"/>
      <w:bookmarkEnd w:id="243"/>
      <w:bookmarkEnd w:id="244"/>
      <w:bookmarkEnd w:id="245"/>
      <w:bookmarkEnd w:id="246"/>
      <w:bookmarkEnd w:id="247"/>
    </w:p>
    <w:p>
      <w:pPr>
        <w:ind w:firstLine="480"/>
      </w:pPr>
      <w:r>
        <w:rPr>
          <w:rFonts w:hint="eastAsia"/>
        </w:rPr>
        <w:t>3.4.1 投标文件应按第五章“投标文件格式”进行编写，如有必要，可以增加附页，作为投标文件的组成部分。其中，投标函附录在满足招标文件实质性要求的基础上，可以提出比招标文件要求更有利于招标人的承诺。</w:t>
      </w:r>
    </w:p>
    <w:p>
      <w:pPr>
        <w:ind w:firstLine="480"/>
      </w:pPr>
      <w:r>
        <w:rPr>
          <w:rFonts w:hint="eastAsia"/>
        </w:rPr>
        <w:t>3.4.2 投标文件应当对招标文件有关工期、投标有效期、质量要求、技术标准和要求、招标范围等实质性内容作出响应。</w:t>
      </w:r>
    </w:p>
    <w:p>
      <w:pPr>
        <w:ind w:firstLine="480"/>
      </w:pPr>
      <w:r>
        <w:rPr>
          <w:rFonts w:hint="eastAsia"/>
        </w:rPr>
        <w:t>3.4.3 投标文件应用不褪色的材料书写或打印，并由投标人的法定代表人或其授权代理人签字或盖单位公章。授权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ind w:firstLine="480"/>
      </w:pPr>
      <w:r>
        <w:rPr>
          <w:rFonts w:hint="eastAsia"/>
        </w:rPr>
        <w:t>3.4.4 投标文件正本一份,副本份数见投标人须知前附表。正本和副本的封面上应清楚地标记“正本”或“副本”的字样。当副本和正本不一致时，以正本为准。</w:t>
      </w:r>
    </w:p>
    <w:p>
      <w:pPr>
        <w:ind w:firstLine="480"/>
      </w:pPr>
      <w:r>
        <w:rPr>
          <w:rFonts w:hint="eastAsia"/>
        </w:rPr>
        <w:t>3.4.5 装订密封要求，详见投标人须知前附表规定。</w:t>
      </w:r>
      <w:bookmarkEnd w:id="248"/>
      <w:bookmarkEnd w:id="249"/>
      <w:bookmarkEnd w:id="250"/>
      <w:bookmarkEnd w:id="251"/>
      <w:bookmarkEnd w:id="252"/>
      <w:bookmarkEnd w:id="253"/>
      <w:bookmarkEnd w:id="254"/>
      <w:bookmarkStart w:id="255" w:name="_Toc152042331"/>
      <w:bookmarkStart w:id="256" w:name="_Toc152045555"/>
      <w:bookmarkStart w:id="257" w:name="_Toc247085713"/>
      <w:bookmarkStart w:id="258" w:name="_Toc246996942"/>
      <w:bookmarkStart w:id="259" w:name="_Toc144974523"/>
      <w:bookmarkStart w:id="260" w:name="_Toc246996199"/>
      <w:bookmarkStart w:id="261" w:name="_Toc179632573"/>
    </w:p>
    <w:p>
      <w:pPr>
        <w:pStyle w:val="4"/>
      </w:pPr>
      <w:bookmarkStart w:id="262" w:name="_Toc9899"/>
      <w:bookmarkStart w:id="263" w:name="_Toc478368416"/>
      <w:bookmarkStart w:id="264" w:name="_Toc32550"/>
      <w:bookmarkStart w:id="265" w:name="_Toc30739"/>
      <w:bookmarkStart w:id="266" w:name="_Toc8896"/>
      <w:bookmarkStart w:id="267" w:name="_Toc3731"/>
      <w:bookmarkStart w:id="268" w:name="_Toc132377529"/>
      <w:r>
        <w:rPr>
          <w:rFonts w:hint="eastAsia"/>
        </w:rPr>
        <w:t>4、投标</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pStyle w:val="2"/>
        <w:ind w:firstLine="482"/>
      </w:pPr>
      <w:bookmarkStart w:id="269" w:name="_Toc23149"/>
      <w:bookmarkStart w:id="270" w:name="_Toc152045556"/>
      <w:bookmarkStart w:id="271" w:name="_Toc4217"/>
      <w:bookmarkStart w:id="272" w:name="_Toc246996200"/>
      <w:bookmarkStart w:id="273" w:name="_Toc478368417"/>
      <w:bookmarkStart w:id="274" w:name="_Toc144974524"/>
      <w:bookmarkStart w:id="275" w:name="_Toc478369021"/>
      <w:bookmarkStart w:id="276" w:name="_Toc8283"/>
      <w:bookmarkStart w:id="277" w:name="_Toc729"/>
      <w:bookmarkStart w:id="278" w:name="_Toc152042332"/>
      <w:bookmarkStart w:id="279" w:name="_Toc474515413"/>
      <w:bookmarkStart w:id="280" w:name="_Toc32724"/>
      <w:bookmarkStart w:id="281" w:name="_Toc8376"/>
      <w:bookmarkStart w:id="282" w:name="_Toc247085714"/>
      <w:bookmarkStart w:id="283" w:name="_Toc246996943"/>
      <w:bookmarkStart w:id="284" w:name="_Toc6121"/>
      <w:bookmarkStart w:id="285" w:name="_Toc179632574"/>
      <w:r>
        <w:rPr>
          <w:rFonts w:hint="eastAsia"/>
        </w:rPr>
        <w:t>4.1 投标文件的密封和标记</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ind w:firstLine="480"/>
      </w:pPr>
      <w:bookmarkStart w:id="286" w:name="_Toc247085715"/>
      <w:bookmarkStart w:id="287" w:name="_Toc152045557"/>
      <w:bookmarkStart w:id="288" w:name="_Toc144974525"/>
      <w:bookmarkStart w:id="289" w:name="_Toc246996201"/>
      <w:bookmarkStart w:id="290" w:name="_Toc152042333"/>
      <w:bookmarkStart w:id="291" w:name="_Toc246996944"/>
      <w:bookmarkStart w:id="292" w:name="_Toc179632575"/>
      <w:r>
        <w:rPr>
          <w:rFonts w:hint="eastAsia"/>
        </w:rPr>
        <w:t>4.1.1 投标文件应进行包装、加贴封条，并在封套的封口处加盖投标人单位公章。</w:t>
      </w:r>
    </w:p>
    <w:p>
      <w:pPr>
        <w:ind w:firstLine="480"/>
      </w:pPr>
      <w:r>
        <w:rPr>
          <w:rFonts w:hint="eastAsia"/>
        </w:rPr>
        <w:t>4.1.2 投标文件封套上应写明的内容见投标人须知前附表。</w:t>
      </w:r>
    </w:p>
    <w:p>
      <w:pPr>
        <w:ind w:firstLine="480"/>
      </w:pPr>
      <w:r>
        <w:rPr>
          <w:rFonts w:hint="eastAsia"/>
        </w:rPr>
        <w:t>4.1.3 未按本章第4.1.1项或第4.1.2项要求密封和加写标记的投标文件，招标人应予拒收。</w:t>
      </w:r>
    </w:p>
    <w:p>
      <w:pPr>
        <w:pStyle w:val="2"/>
        <w:ind w:firstLine="482"/>
      </w:pPr>
      <w:bookmarkStart w:id="293" w:name="_Toc14966"/>
      <w:bookmarkStart w:id="294" w:name="_Toc478368418"/>
      <w:bookmarkStart w:id="295" w:name="_Toc13991"/>
      <w:bookmarkStart w:id="296" w:name="_Toc2632"/>
      <w:bookmarkStart w:id="297" w:name="_Toc478369022"/>
      <w:bookmarkStart w:id="298" w:name="_Toc31442"/>
      <w:bookmarkStart w:id="299" w:name="_Toc2823"/>
      <w:bookmarkStart w:id="300" w:name="_Toc3171"/>
      <w:bookmarkStart w:id="301" w:name="_Toc474515414"/>
      <w:bookmarkStart w:id="302" w:name="_Toc29679"/>
      <w:r>
        <w:rPr>
          <w:rFonts w:hint="eastAsia"/>
        </w:rPr>
        <w:t>4.2 投标文件的递交</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pPr>
        <w:ind w:firstLine="480"/>
      </w:pPr>
      <w:r>
        <w:rPr>
          <w:rFonts w:hint="eastAsia"/>
        </w:rPr>
        <w:t>4.2.1 投标人应在规定的投标截止时间前递交投标文件。</w:t>
      </w:r>
    </w:p>
    <w:p>
      <w:pPr>
        <w:ind w:firstLine="480"/>
      </w:pPr>
      <w:r>
        <w:rPr>
          <w:rFonts w:hint="eastAsia"/>
        </w:rPr>
        <w:t>4.2.2 投标人递交投标文件的地点：见投标人须知前附表。</w:t>
      </w:r>
    </w:p>
    <w:p>
      <w:pPr>
        <w:ind w:firstLine="480"/>
      </w:pPr>
      <w:r>
        <w:rPr>
          <w:rFonts w:hint="eastAsia"/>
        </w:rPr>
        <w:t>4.2.3 除投标人须知前附表另有规定外，投标人所递交的投标文件不予退还。</w:t>
      </w:r>
    </w:p>
    <w:p>
      <w:pPr>
        <w:ind w:firstLine="480"/>
      </w:pPr>
      <w:r>
        <w:rPr>
          <w:rFonts w:hint="eastAsia"/>
        </w:rPr>
        <w:t>4.2.4 逾期送达的或者未送达指定地点的投标文件，招标人不予受理。</w:t>
      </w:r>
    </w:p>
    <w:p>
      <w:pPr>
        <w:pStyle w:val="2"/>
        <w:ind w:firstLine="482"/>
      </w:pPr>
      <w:bookmarkStart w:id="303" w:name="_Toc1582"/>
      <w:bookmarkStart w:id="304" w:name="_Toc28508"/>
      <w:bookmarkStart w:id="305" w:name="_Toc144974526"/>
      <w:bookmarkStart w:id="306" w:name="_Toc4157"/>
      <w:bookmarkStart w:id="307" w:name="_Toc152045558"/>
      <w:bookmarkStart w:id="308" w:name="_Toc179632576"/>
      <w:bookmarkStart w:id="309" w:name="_Toc17535"/>
      <w:bookmarkStart w:id="310" w:name="_Toc478369023"/>
      <w:bookmarkStart w:id="311" w:name="_Toc247085716"/>
      <w:bookmarkStart w:id="312" w:name="_Toc478368419"/>
      <w:bookmarkStart w:id="313" w:name="_Toc246996202"/>
      <w:bookmarkStart w:id="314" w:name="_Toc474515415"/>
      <w:bookmarkStart w:id="315" w:name="_Toc152042334"/>
      <w:bookmarkStart w:id="316" w:name="_Toc2045"/>
      <w:bookmarkStart w:id="317" w:name="_Toc3280"/>
      <w:bookmarkStart w:id="318" w:name="_Toc22005"/>
      <w:bookmarkStart w:id="319" w:name="_Toc246996945"/>
      <w:r>
        <w:rPr>
          <w:rFonts w:hint="eastAsia"/>
        </w:rPr>
        <w:t>4.3 投标文件的修改与撤回</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pPr>
        <w:ind w:firstLine="480"/>
      </w:pPr>
      <w:r>
        <w:rPr>
          <w:rFonts w:hint="eastAsia"/>
        </w:rPr>
        <w:t>在项规定的投标截止时间前，投标人可以修改或撤回已递交的投标文件，但应以书面形式通知招标人。</w:t>
      </w:r>
    </w:p>
    <w:p>
      <w:pPr>
        <w:pStyle w:val="4"/>
      </w:pPr>
      <w:bookmarkStart w:id="320" w:name="_Toc179632577"/>
      <w:bookmarkStart w:id="321" w:name="_Toc144974527"/>
      <w:bookmarkStart w:id="322" w:name="_Toc152042335"/>
      <w:bookmarkStart w:id="323" w:name="_Toc152045559"/>
      <w:bookmarkStart w:id="324" w:name="_Toc4442"/>
      <w:bookmarkStart w:id="325" w:name="_Toc246996203"/>
      <w:bookmarkStart w:id="326" w:name="_Toc478368420"/>
      <w:bookmarkStart w:id="327" w:name="_Toc17760"/>
      <w:bookmarkStart w:id="328" w:name="_Toc10758"/>
      <w:bookmarkStart w:id="329" w:name="_Toc19617"/>
      <w:bookmarkStart w:id="330" w:name="_Toc247085717"/>
      <w:bookmarkStart w:id="331" w:name="_Toc246996946"/>
      <w:bookmarkStart w:id="332" w:name="_Toc10697"/>
      <w:bookmarkStart w:id="333" w:name="_Toc132377530"/>
      <w:r>
        <w:rPr>
          <w:rFonts w:hint="eastAsia"/>
        </w:rPr>
        <w:t>5、开标</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pPr>
        <w:pStyle w:val="2"/>
        <w:ind w:firstLine="482"/>
      </w:pPr>
      <w:bookmarkStart w:id="334" w:name="_Toc31913"/>
      <w:bookmarkStart w:id="335" w:name="_Toc2665"/>
      <w:bookmarkStart w:id="336" w:name="_Toc471"/>
      <w:bookmarkStart w:id="337" w:name="_Toc22190"/>
      <w:bookmarkStart w:id="338" w:name="_Toc11986"/>
      <w:bookmarkStart w:id="339" w:name="_Toc24307"/>
      <w:bookmarkStart w:id="340" w:name="_Toc152042336"/>
      <w:bookmarkStart w:id="341" w:name="_Toc246996204"/>
      <w:bookmarkStart w:id="342" w:name="_Toc474515417"/>
      <w:bookmarkStart w:id="343" w:name="_Toc27418"/>
      <w:bookmarkStart w:id="344" w:name="_Toc144974528"/>
      <w:bookmarkStart w:id="345" w:name="_Toc247085718"/>
      <w:bookmarkStart w:id="346" w:name="_Toc152045560"/>
      <w:bookmarkStart w:id="347" w:name="_Toc478369025"/>
      <w:bookmarkStart w:id="348" w:name="_Toc478368421"/>
      <w:bookmarkStart w:id="349" w:name="_Toc179632578"/>
      <w:bookmarkStart w:id="350" w:name="_Toc246996947"/>
      <w:r>
        <w:rPr>
          <w:rFonts w:hint="eastAsia"/>
        </w:rPr>
        <w:t>5.1 开标时间和地点</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ind w:firstLine="480"/>
      </w:pPr>
      <w:r>
        <w:rPr>
          <w:rFonts w:hint="eastAsia"/>
        </w:rPr>
        <w:t>开标时间和地点详见投标人须知前附表。</w:t>
      </w:r>
    </w:p>
    <w:p>
      <w:pPr>
        <w:pStyle w:val="2"/>
        <w:ind w:firstLine="482"/>
      </w:pPr>
      <w:bookmarkStart w:id="351" w:name="_Toc30790"/>
      <w:bookmarkStart w:id="352" w:name="_Toc21680"/>
      <w:bookmarkStart w:id="353" w:name="_Toc152042337"/>
      <w:bookmarkStart w:id="354" w:name="_Toc246996948"/>
      <w:bookmarkStart w:id="355" w:name="_Toc478368422"/>
      <w:bookmarkStart w:id="356" w:name="_Toc23253"/>
      <w:bookmarkStart w:id="357" w:name="_Toc9991"/>
      <w:bookmarkStart w:id="358" w:name="_Toc31714"/>
      <w:bookmarkStart w:id="359" w:name="_Toc246996205"/>
      <w:bookmarkStart w:id="360" w:name="_Toc13835"/>
      <w:bookmarkStart w:id="361" w:name="_Toc152045561"/>
      <w:bookmarkStart w:id="362" w:name="_Toc179632579"/>
      <w:bookmarkStart w:id="363" w:name="_Toc144974529"/>
      <w:bookmarkStart w:id="364" w:name="_Toc16919"/>
      <w:bookmarkStart w:id="365" w:name="_Toc478369026"/>
      <w:bookmarkStart w:id="366" w:name="_Toc474515418"/>
      <w:bookmarkStart w:id="367" w:name="_Toc247085719"/>
      <w:r>
        <w:rPr>
          <w:rFonts w:hint="eastAsia"/>
        </w:rPr>
        <w:t>5.2 开标程序</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ind w:firstLine="480"/>
      </w:pPr>
      <w:r>
        <w:rPr>
          <w:rFonts w:hint="eastAsia"/>
        </w:rPr>
        <w:t>主持人按下列程序进行开标：</w:t>
      </w:r>
    </w:p>
    <w:p>
      <w:pPr>
        <w:ind w:firstLine="480"/>
      </w:pPr>
      <w:bookmarkStart w:id="368" w:name="_Toc474515419"/>
      <w:bookmarkStart w:id="369" w:name="_Toc478368423"/>
      <w:bookmarkStart w:id="370" w:name="_Toc478369027"/>
      <w:r>
        <w:rPr>
          <w:rFonts w:hint="eastAsia"/>
        </w:rPr>
        <w:t>5.2.1 宣布开标纪律。</w:t>
      </w:r>
    </w:p>
    <w:p>
      <w:pPr>
        <w:ind w:firstLine="480"/>
      </w:pPr>
      <w:r>
        <w:rPr>
          <w:rFonts w:hint="eastAsia"/>
        </w:rPr>
        <w:t>5.2.2 公布在投标截止时间前递交投标文件的投标人名称。</w:t>
      </w:r>
    </w:p>
    <w:p>
      <w:pPr>
        <w:ind w:firstLine="480"/>
      </w:pPr>
      <w:r>
        <w:rPr>
          <w:rFonts w:hint="eastAsia"/>
        </w:rPr>
        <w:t>5.2.3 宣布开标人、唱标人、记录人、监标人等有关人员名单。</w:t>
      </w:r>
    </w:p>
    <w:p>
      <w:pPr>
        <w:ind w:firstLine="480"/>
      </w:pPr>
      <w:r>
        <w:rPr>
          <w:rFonts w:hint="eastAsia"/>
        </w:rPr>
        <w:t>5.2.4 按照投标文件递交顺序检查投标文件的密封情况；核验各投标单位资质条件等。</w:t>
      </w:r>
    </w:p>
    <w:p>
      <w:pPr>
        <w:ind w:firstLine="480"/>
      </w:pPr>
      <w:r>
        <w:rPr>
          <w:rFonts w:hint="eastAsia"/>
        </w:rPr>
        <w:t>5.2.5 按照投标文件递交顺序宣布投标文件开标顺序。</w:t>
      </w:r>
    </w:p>
    <w:p>
      <w:pPr>
        <w:ind w:firstLine="480"/>
      </w:pPr>
      <w:r>
        <w:rPr>
          <w:rFonts w:hint="eastAsia"/>
        </w:rPr>
        <w:t>5.2.6 按照宣布的开标顺序当众开标，公布投标人名称、项目名称的递交情况、投标报价、质量目标、工期及其他内容，并记录。</w:t>
      </w:r>
    </w:p>
    <w:p>
      <w:pPr>
        <w:ind w:firstLine="480"/>
      </w:pPr>
      <w:r>
        <w:rPr>
          <w:rFonts w:hint="eastAsia"/>
        </w:rPr>
        <w:t>5.2.7 投标人代表、招标人代表、监标人、记录人等有关人员在开标记录上签字确认。</w:t>
      </w:r>
    </w:p>
    <w:p>
      <w:pPr>
        <w:ind w:firstLine="480"/>
      </w:pPr>
      <w:r>
        <w:rPr>
          <w:rFonts w:hint="eastAsia"/>
        </w:rPr>
        <w:t>5.2.8 开标结束。</w:t>
      </w:r>
    </w:p>
    <w:bookmarkEnd w:id="368"/>
    <w:bookmarkEnd w:id="369"/>
    <w:bookmarkEnd w:id="370"/>
    <w:p>
      <w:pPr>
        <w:pStyle w:val="4"/>
      </w:pPr>
      <w:bookmarkStart w:id="371" w:name="_Toc152042338"/>
      <w:bookmarkStart w:id="372" w:name="_Toc25729"/>
      <w:bookmarkStart w:id="373" w:name="_Toc246996206"/>
      <w:bookmarkStart w:id="374" w:name="_Toc179632580"/>
      <w:bookmarkStart w:id="375" w:name="_Toc26873"/>
      <w:bookmarkStart w:id="376" w:name="_Toc144974530"/>
      <w:bookmarkStart w:id="377" w:name="_Toc247085720"/>
      <w:bookmarkStart w:id="378" w:name="_Toc478368424"/>
      <w:bookmarkStart w:id="379" w:name="_Toc18505"/>
      <w:bookmarkStart w:id="380" w:name="_Toc16563"/>
      <w:bookmarkStart w:id="381" w:name="_Toc246996949"/>
      <w:bookmarkStart w:id="382" w:name="_Toc15010"/>
      <w:bookmarkStart w:id="383" w:name="_Toc152045562"/>
      <w:bookmarkStart w:id="384" w:name="_Toc132377531"/>
      <w:r>
        <w:rPr>
          <w:rFonts w:hint="eastAsia"/>
        </w:rPr>
        <w:t>6、评标</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pStyle w:val="2"/>
        <w:ind w:firstLine="482"/>
      </w:pPr>
      <w:bookmarkStart w:id="385" w:name="_Toc478368425"/>
      <w:bookmarkStart w:id="386" w:name="_Toc478369029"/>
      <w:bookmarkStart w:id="387" w:name="_Toc17393"/>
      <w:bookmarkStart w:id="388" w:name="_Toc17923"/>
      <w:bookmarkStart w:id="389" w:name="_Toc246996950"/>
      <w:bookmarkStart w:id="390" w:name="_Toc246996207"/>
      <w:bookmarkStart w:id="391" w:name="_Toc540"/>
      <w:bookmarkStart w:id="392" w:name="_Toc179632581"/>
      <w:bookmarkStart w:id="393" w:name="_Toc6688"/>
      <w:bookmarkStart w:id="394" w:name="_Toc474515421"/>
      <w:bookmarkStart w:id="395" w:name="_Toc152042339"/>
      <w:bookmarkStart w:id="396" w:name="_Toc18777"/>
      <w:bookmarkStart w:id="397" w:name="_Toc18282"/>
      <w:bookmarkStart w:id="398" w:name="_Toc144974531"/>
      <w:bookmarkStart w:id="399" w:name="_Toc247085721"/>
      <w:bookmarkStart w:id="400" w:name="_Toc27371"/>
      <w:bookmarkStart w:id="401" w:name="_Toc152045563"/>
      <w:r>
        <w:rPr>
          <w:rFonts w:hint="eastAsia"/>
        </w:rPr>
        <w:t>6.1 评标委员会</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ind w:firstLine="480"/>
      </w:pPr>
      <w:bookmarkStart w:id="402" w:name="_Toc152042340"/>
      <w:bookmarkStart w:id="403" w:name="_Toc144974532"/>
      <w:bookmarkStart w:id="404" w:name="_Toc152045564"/>
      <w:bookmarkStart w:id="405" w:name="_Toc179632582"/>
      <w:bookmarkStart w:id="406" w:name="_Toc27996"/>
      <w:bookmarkStart w:id="407" w:name="_Toc16190"/>
      <w:bookmarkStart w:id="408" w:name="_Toc478368426"/>
      <w:bookmarkStart w:id="409" w:name="_Toc246996951"/>
      <w:bookmarkStart w:id="410" w:name="_Toc474515422"/>
      <w:bookmarkStart w:id="411" w:name="_Toc247085722"/>
      <w:bookmarkStart w:id="412" w:name="_Toc478369030"/>
      <w:bookmarkStart w:id="413" w:name="_Toc17186"/>
      <w:bookmarkStart w:id="414" w:name="_Toc246996208"/>
      <w:bookmarkStart w:id="415" w:name="_Toc13139"/>
      <w:bookmarkStart w:id="416" w:name="_Toc28008"/>
      <w:bookmarkStart w:id="417" w:name="_Toc29101"/>
      <w:r>
        <w:rPr>
          <w:rFonts w:hint="eastAsia"/>
        </w:rPr>
        <w:t>6.1.1 由地勘十公司地勘部代表、法务代表、财务代表、审计代表、企管代表组成。</w:t>
      </w:r>
    </w:p>
    <w:p>
      <w:pPr>
        <w:ind w:firstLine="480"/>
      </w:pPr>
      <w:r>
        <w:rPr>
          <w:rFonts w:hint="eastAsia"/>
        </w:rPr>
        <w:t>6.1.2 评标委员会成员有下列情形之一的，应当回避：</w:t>
      </w:r>
    </w:p>
    <w:p>
      <w:pPr>
        <w:ind w:firstLine="480"/>
      </w:pPr>
      <w:r>
        <w:rPr>
          <w:rFonts w:hint="eastAsia"/>
        </w:rPr>
        <w:t>投标人或投标人主要负责人的近亲属；</w:t>
      </w:r>
    </w:p>
    <w:p>
      <w:pPr>
        <w:ind w:firstLine="480"/>
      </w:pPr>
      <w:r>
        <w:rPr>
          <w:rFonts w:hint="eastAsia"/>
        </w:rPr>
        <w:t>项目主管部门或者行政监督部门的人员；</w:t>
      </w:r>
    </w:p>
    <w:p>
      <w:pPr>
        <w:ind w:firstLine="480"/>
      </w:pPr>
      <w:r>
        <w:rPr>
          <w:rFonts w:hint="eastAsia"/>
        </w:rPr>
        <w:t>与投标人有经济利益关系的人员；</w:t>
      </w:r>
    </w:p>
    <w:p>
      <w:pPr>
        <w:ind w:firstLine="480"/>
      </w:pPr>
      <w:r>
        <w:rPr>
          <w:rFonts w:hint="eastAsia"/>
        </w:rPr>
        <w:t>曾因在招标、评标以及其他与招标投标有关活动中从事违法行为而受过行政处罚或刑事处罚的人员；</w:t>
      </w:r>
    </w:p>
    <w:p>
      <w:pPr>
        <w:ind w:firstLine="480"/>
      </w:pPr>
      <w:r>
        <w:rPr>
          <w:rFonts w:hint="eastAsia"/>
        </w:rPr>
        <w:t>与投标人有其他利害关系的人员。</w:t>
      </w:r>
    </w:p>
    <w:p>
      <w:pPr>
        <w:pStyle w:val="2"/>
        <w:ind w:firstLine="482"/>
      </w:pPr>
      <w:bookmarkStart w:id="418" w:name="_Toc26621"/>
      <w:r>
        <w:rPr>
          <w:rFonts w:hint="eastAsia"/>
        </w:rPr>
        <w:t>6.2 评标原则</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pPr>
        <w:ind w:firstLine="480"/>
      </w:pPr>
      <w:r>
        <w:rPr>
          <w:rFonts w:hint="eastAsia"/>
        </w:rPr>
        <w:t>评标活动遵循公平、公正、科学和择优的原则。</w:t>
      </w:r>
    </w:p>
    <w:p>
      <w:pPr>
        <w:pStyle w:val="2"/>
        <w:ind w:firstLine="482"/>
      </w:pPr>
      <w:bookmarkStart w:id="419" w:name="_Toc478369031"/>
      <w:bookmarkStart w:id="420" w:name="_Toc152045565"/>
      <w:bookmarkStart w:id="421" w:name="_Toc31607"/>
      <w:bookmarkStart w:id="422" w:name="_Toc4523"/>
      <w:bookmarkStart w:id="423" w:name="_Toc246996952"/>
      <w:bookmarkStart w:id="424" w:name="_Toc27121"/>
      <w:bookmarkStart w:id="425" w:name="_Toc144974533"/>
      <w:bookmarkStart w:id="426" w:name="_Toc474515423"/>
      <w:bookmarkStart w:id="427" w:name="_Toc18797"/>
      <w:bookmarkStart w:id="428" w:name="_Toc179632583"/>
      <w:bookmarkStart w:id="429" w:name="_Toc247085723"/>
      <w:bookmarkStart w:id="430" w:name="_Toc5781"/>
      <w:bookmarkStart w:id="431" w:name="_Toc246996209"/>
      <w:bookmarkStart w:id="432" w:name="_Toc152042341"/>
      <w:bookmarkStart w:id="433" w:name="_Toc478368427"/>
      <w:bookmarkStart w:id="434" w:name="_Toc3208"/>
      <w:bookmarkStart w:id="435" w:name="_Toc7605"/>
      <w:r>
        <w:rPr>
          <w:rFonts w:hint="eastAsia"/>
        </w:rPr>
        <w:t>6.3 评标</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ind w:firstLine="480"/>
      </w:pPr>
      <w:r>
        <w:rPr>
          <w:rFonts w:hint="eastAsia"/>
        </w:rPr>
        <w:t>评标委员会按照第三章“评标办法”规定的方法、评审因素、标准和程序对投标文件进行评审。第三章“评标办法”没有规定的方法、评审因素和标准，不作为评标依据。</w:t>
      </w:r>
    </w:p>
    <w:p>
      <w:pPr>
        <w:pStyle w:val="4"/>
      </w:pPr>
      <w:bookmarkStart w:id="436" w:name="_Toc23369"/>
      <w:bookmarkStart w:id="437" w:name="_Toc6908"/>
      <w:bookmarkStart w:id="438" w:name="_Toc179632584"/>
      <w:bookmarkStart w:id="439" w:name="_Toc478368428"/>
      <w:bookmarkStart w:id="440" w:name="_Toc15899"/>
      <w:bookmarkStart w:id="441" w:name="_Toc144974534"/>
      <w:bookmarkStart w:id="442" w:name="_Toc20719"/>
      <w:bookmarkStart w:id="443" w:name="_Toc247085724"/>
      <w:bookmarkStart w:id="444" w:name="_Toc152045566"/>
      <w:bookmarkStart w:id="445" w:name="_Toc4807"/>
      <w:bookmarkStart w:id="446" w:name="_Toc246996210"/>
      <w:bookmarkStart w:id="447" w:name="_Toc246996953"/>
      <w:bookmarkStart w:id="448" w:name="_Toc152042342"/>
      <w:bookmarkStart w:id="449" w:name="_Toc132377532"/>
      <w:r>
        <w:rPr>
          <w:rFonts w:hint="eastAsia"/>
        </w:rPr>
        <w:t>7、合同授予</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pPr>
        <w:pStyle w:val="2"/>
        <w:ind w:firstLine="482"/>
      </w:pPr>
      <w:bookmarkStart w:id="450" w:name="_Toc247085725"/>
      <w:bookmarkStart w:id="451" w:name="_Toc179632585"/>
      <w:bookmarkStart w:id="452" w:name="_Toc19974"/>
      <w:bookmarkStart w:id="453" w:name="_Toc290"/>
      <w:bookmarkStart w:id="454" w:name="_Toc246996211"/>
      <w:bookmarkStart w:id="455" w:name="_Toc22379"/>
      <w:bookmarkStart w:id="456" w:name="_Toc152045567"/>
      <w:bookmarkStart w:id="457" w:name="_Toc246996954"/>
      <w:bookmarkStart w:id="458" w:name="_Toc152042343"/>
      <w:bookmarkStart w:id="459" w:name="_Toc3185"/>
      <w:bookmarkStart w:id="460" w:name="_Toc478369033"/>
      <w:bookmarkStart w:id="461" w:name="_Toc23866"/>
      <w:bookmarkStart w:id="462" w:name="_Toc144974535"/>
      <w:bookmarkStart w:id="463" w:name="_Toc25375"/>
      <w:bookmarkStart w:id="464" w:name="_Toc478368429"/>
      <w:bookmarkStart w:id="465" w:name="_Toc474515425"/>
      <w:bookmarkStart w:id="466" w:name="_Toc25679"/>
      <w:r>
        <w:rPr>
          <w:rFonts w:hint="eastAsia"/>
        </w:rPr>
        <w:t>7.1 定标方式</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ind w:firstLine="480"/>
      </w:pPr>
      <w:r>
        <w:rPr>
          <w:rFonts w:hint="eastAsia"/>
        </w:rPr>
        <w:t>除投标人须知前附表规定评标委员会直接确定中标人外，招标人依据评标委员会推荐的中标候选人确定中标人。。</w:t>
      </w:r>
    </w:p>
    <w:p>
      <w:pPr>
        <w:pStyle w:val="2"/>
        <w:ind w:firstLine="482"/>
      </w:pPr>
      <w:bookmarkStart w:id="467" w:name="_Toc152045568"/>
      <w:bookmarkStart w:id="468" w:name="_Toc4409"/>
      <w:bookmarkStart w:id="469" w:name="_Toc478368430"/>
      <w:bookmarkStart w:id="470" w:name="_Toc144974536"/>
      <w:bookmarkStart w:id="471" w:name="_Toc6447"/>
      <w:bookmarkStart w:id="472" w:name="_Toc28604"/>
      <w:bookmarkStart w:id="473" w:name="_Toc152042344"/>
      <w:bookmarkStart w:id="474" w:name="_Toc247085726"/>
      <w:bookmarkStart w:id="475" w:name="_Toc478369034"/>
      <w:bookmarkStart w:id="476" w:name="_Toc246996212"/>
      <w:bookmarkStart w:id="477" w:name="_Toc20159"/>
      <w:bookmarkStart w:id="478" w:name="_Toc246996955"/>
      <w:bookmarkStart w:id="479" w:name="_Toc474515426"/>
      <w:bookmarkStart w:id="480" w:name="_Toc3307"/>
      <w:bookmarkStart w:id="481" w:name="_Toc179632586"/>
      <w:bookmarkStart w:id="482" w:name="_Toc203"/>
      <w:bookmarkStart w:id="483" w:name="_Toc32488"/>
      <w:r>
        <w:rPr>
          <w:rFonts w:hint="eastAsia"/>
        </w:rPr>
        <w:t>7.2 中标通知</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pPr>
        <w:ind w:firstLine="480"/>
      </w:pPr>
      <w:r>
        <w:rPr>
          <w:rFonts w:hint="eastAsia"/>
        </w:rPr>
        <w:t>在本章第3.3款规定的投标有效期内，招标人以书面形式向中标人发出中标通知书。</w:t>
      </w:r>
    </w:p>
    <w:p>
      <w:pPr>
        <w:pStyle w:val="4"/>
      </w:pPr>
      <w:bookmarkStart w:id="484" w:name="_Toc22392"/>
      <w:bookmarkStart w:id="485" w:name="_Toc12382"/>
      <w:bookmarkStart w:id="486" w:name="_Toc17620"/>
      <w:bookmarkStart w:id="487" w:name="_Toc26856"/>
      <w:bookmarkStart w:id="488" w:name="_Toc5154"/>
      <w:bookmarkStart w:id="489" w:name="_Toc478368433"/>
      <w:bookmarkStart w:id="490" w:name="_Toc132377533"/>
      <w:r>
        <w:rPr>
          <w:rFonts w:hint="eastAsia"/>
        </w:rPr>
        <w:t>8、纪律和监督</w:t>
      </w:r>
      <w:bookmarkEnd w:id="484"/>
      <w:bookmarkEnd w:id="485"/>
      <w:bookmarkEnd w:id="486"/>
      <w:bookmarkEnd w:id="487"/>
      <w:bookmarkEnd w:id="488"/>
      <w:bookmarkEnd w:id="489"/>
      <w:bookmarkEnd w:id="490"/>
    </w:p>
    <w:p>
      <w:pPr>
        <w:pStyle w:val="2"/>
        <w:ind w:firstLine="482"/>
      </w:pPr>
      <w:bookmarkStart w:id="491" w:name="_Toc246996962"/>
      <w:bookmarkStart w:id="492" w:name="_Toc296590983"/>
      <w:bookmarkStart w:id="493" w:name="_Toc152042351"/>
      <w:bookmarkStart w:id="494" w:name="_Toc8344"/>
      <w:bookmarkStart w:id="495" w:name="_Toc474515430"/>
      <w:bookmarkStart w:id="496" w:name="_Toc18195"/>
      <w:bookmarkStart w:id="497" w:name="_Toc152045575"/>
      <w:bookmarkStart w:id="498" w:name="_Toc478369038"/>
      <w:bookmarkStart w:id="499" w:name="_Toc29735"/>
      <w:bookmarkStart w:id="500" w:name="_Toc246996219"/>
      <w:bookmarkStart w:id="501" w:name="_Toc144974543"/>
      <w:bookmarkStart w:id="502" w:name="_Toc25147"/>
      <w:bookmarkStart w:id="503" w:name="_Toc22136"/>
      <w:bookmarkStart w:id="504" w:name="_Toc478368434"/>
      <w:bookmarkStart w:id="505" w:name="_Toc25743"/>
      <w:bookmarkStart w:id="506" w:name="_Toc247085733"/>
      <w:bookmarkStart w:id="507" w:name="_Toc179632593"/>
      <w:bookmarkStart w:id="508" w:name="_Toc7743"/>
      <w:r>
        <w:rPr>
          <w:rFonts w:hint="eastAsia"/>
        </w:rPr>
        <w:t>8.1 对招标人的纪律要求</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ind w:firstLine="480"/>
      </w:pPr>
      <w:r>
        <w:rPr>
          <w:rFonts w:hint="eastAsia"/>
        </w:rPr>
        <w:t>招标人不得泄漏招标投标活动中应当保密的情况和资料，不得与投标人串通损害国家利益、社会公共利益或者他人合法权益。</w:t>
      </w:r>
    </w:p>
    <w:p>
      <w:pPr>
        <w:pStyle w:val="2"/>
        <w:ind w:firstLine="482"/>
      </w:pPr>
      <w:bookmarkStart w:id="509" w:name="_Toc246996220"/>
      <w:bookmarkStart w:id="510" w:name="_Toc179632594"/>
      <w:bookmarkStart w:id="511" w:name="_Toc478368435"/>
      <w:bookmarkStart w:id="512" w:name="_Toc8606"/>
      <w:bookmarkStart w:id="513" w:name="_Toc152042352"/>
      <w:bookmarkStart w:id="514" w:name="_Toc246996963"/>
      <w:bookmarkStart w:id="515" w:name="_Toc474515431"/>
      <w:bookmarkStart w:id="516" w:name="_Toc17532"/>
      <w:bookmarkStart w:id="517" w:name="_Toc478369039"/>
      <w:bookmarkStart w:id="518" w:name="_Toc31313"/>
      <w:bookmarkStart w:id="519" w:name="_Toc152045576"/>
      <w:bookmarkStart w:id="520" w:name="_Toc17677"/>
      <w:bookmarkStart w:id="521" w:name="_Toc144974544"/>
      <w:bookmarkStart w:id="522" w:name="_Toc4585"/>
      <w:bookmarkStart w:id="523" w:name="_Toc25359"/>
      <w:bookmarkStart w:id="524" w:name="_Toc344"/>
      <w:bookmarkStart w:id="525" w:name="_Toc247085734"/>
      <w:r>
        <w:rPr>
          <w:rFonts w:hint="eastAsia"/>
        </w:rPr>
        <w:t>8.2 对投标人的纪律要求</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ind w:firstLine="48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
        <w:ind w:firstLine="482"/>
      </w:pPr>
      <w:bookmarkStart w:id="526" w:name="_Toc246996221"/>
      <w:bookmarkStart w:id="527" w:name="_Toc30037"/>
      <w:bookmarkStart w:id="528" w:name="_Toc3099"/>
      <w:bookmarkStart w:id="529" w:name="_Toc478369040"/>
      <w:bookmarkStart w:id="530" w:name="_Toc20975"/>
      <w:bookmarkStart w:id="531" w:name="_Toc474515432"/>
      <w:bookmarkStart w:id="532" w:name="_Toc478368436"/>
      <w:bookmarkStart w:id="533" w:name="_Toc144974545"/>
      <w:bookmarkStart w:id="534" w:name="_Toc152045577"/>
      <w:bookmarkStart w:id="535" w:name="_Toc246996964"/>
      <w:bookmarkStart w:id="536" w:name="_Toc27828"/>
      <w:bookmarkStart w:id="537" w:name="_Toc982"/>
      <w:bookmarkStart w:id="538" w:name="_Toc929"/>
      <w:bookmarkStart w:id="539" w:name="_Toc179632595"/>
      <w:bookmarkStart w:id="540" w:name="_Toc247085735"/>
      <w:bookmarkStart w:id="541" w:name="_Toc152042353"/>
      <w:bookmarkStart w:id="542" w:name="_Toc3783"/>
      <w:r>
        <w:rPr>
          <w:rFonts w:hint="eastAsia"/>
        </w:rPr>
        <w:t>8.3 对评标委员会成员的纪律要求</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ind w:firstLine="480"/>
      </w:pPr>
      <w:r>
        <w:rPr>
          <w:rFonts w:hint="eastAsi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2"/>
        <w:ind w:firstLine="482"/>
      </w:pPr>
      <w:bookmarkStart w:id="543" w:name="_Toc2450"/>
      <w:bookmarkStart w:id="544" w:name="_Toc179632596"/>
      <w:bookmarkStart w:id="545" w:name="_Toc17128"/>
      <w:bookmarkStart w:id="546" w:name="_Toc478368437"/>
      <w:bookmarkStart w:id="547" w:name="_Toc31369"/>
      <w:bookmarkStart w:id="548" w:name="_Toc1961"/>
      <w:bookmarkStart w:id="549" w:name="_Toc246996222"/>
      <w:bookmarkStart w:id="550" w:name="_Toc152042354"/>
      <w:bookmarkStart w:id="551" w:name="_Toc24675"/>
      <w:bookmarkStart w:id="552" w:name="_Toc152045578"/>
      <w:bookmarkStart w:id="553" w:name="_Toc247085736"/>
      <w:bookmarkStart w:id="554" w:name="_Toc474515433"/>
      <w:bookmarkStart w:id="555" w:name="_Toc246996965"/>
      <w:bookmarkStart w:id="556" w:name="_Toc478369041"/>
      <w:bookmarkStart w:id="557" w:name="_Toc12440"/>
      <w:bookmarkStart w:id="558" w:name="_Toc32679"/>
      <w:bookmarkStart w:id="559" w:name="_Toc144974546"/>
      <w:r>
        <w:rPr>
          <w:rFonts w:hint="eastAsia"/>
        </w:rPr>
        <w:t>8.4 对与评标活动有关的工作人员的纪律要求</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pPr>
        <w:ind w:firstLine="480"/>
      </w:pPr>
      <w:bookmarkStart w:id="560" w:name="_Toc152042355"/>
      <w:r>
        <w:rPr>
          <w:rFonts w:hint="eastAsi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560"/>
    </w:p>
    <w:p>
      <w:pPr>
        <w:pStyle w:val="2"/>
        <w:ind w:firstLine="482"/>
      </w:pPr>
      <w:bookmarkStart w:id="561" w:name="_Toc179632597"/>
      <w:bookmarkStart w:id="562" w:name="_Toc246996223"/>
      <w:bookmarkStart w:id="563" w:name="_Toc2071"/>
      <w:bookmarkStart w:id="564" w:name="_Toc152045579"/>
      <w:bookmarkStart w:id="565" w:name="_Toc478368438"/>
      <w:bookmarkStart w:id="566" w:name="_Toc27604"/>
      <w:bookmarkStart w:id="567" w:name="_Toc20163"/>
      <w:bookmarkStart w:id="568" w:name="_Toc4850"/>
      <w:bookmarkStart w:id="569" w:name="_Toc26749"/>
      <w:bookmarkStart w:id="570" w:name="_Toc474515434"/>
      <w:bookmarkStart w:id="571" w:name="_Toc152042356"/>
      <w:bookmarkStart w:id="572" w:name="_Toc247085737"/>
      <w:bookmarkStart w:id="573" w:name="_Toc246996966"/>
      <w:bookmarkStart w:id="574" w:name="_Toc10204"/>
      <w:bookmarkStart w:id="575" w:name="_Toc17313"/>
      <w:bookmarkStart w:id="576" w:name="_Toc478369042"/>
      <w:r>
        <w:rPr>
          <w:rFonts w:hint="eastAsia"/>
        </w:rPr>
        <w:t>8.5 投诉</w:t>
      </w:r>
      <w:bookmarkEnd w:id="559"/>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ind w:firstLine="480"/>
      </w:pPr>
      <w:r>
        <w:rPr>
          <w:rFonts w:hint="eastAsia"/>
        </w:rPr>
        <w:t>投标人和其他利害关系人认为本次招标活动违反法律、法规和规章规定的，有权向有关行政监督部门投诉。</w:t>
      </w:r>
    </w:p>
    <w:p>
      <w:pPr>
        <w:pStyle w:val="4"/>
      </w:pPr>
      <w:bookmarkStart w:id="577" w:name="_Toc152045580"/>
      <w:bookmarkStart w:id="578" w:name="_Toc152042357"/>
      <w:bookmarkStart w:id="579" w:name="_Toc10701"/>
      <w:bookmarkStart w:id="580" w:name="_Toc179632598"/>
      <w:bookmarkStart w:id="581" w:name="_Toc20329"/>
      <w:bookmarkStart w:id="582" w:name="_Toc246996967"/>
      <w:bookmarkStart w:id="583" w:name="_Toc478368439"/>
      <w:bookmarkStart w:id="584" w:name="_Toc247085738"/>
      <w:bookmarkStart w:id="585" w:name="_Toc144974547"/>
      <w:bookmarkStart w:id="586" w:name="_Toc27101"/>
      <w:bookmarkStart w:id="587" w:name="_Toc246996224"/>
      <w:bookmarkStart w:id="588" w:name="_Toc3082"/>
      <w:bookmarkStart w:id="589" w:name="_Toc21822"/>
      <w:bookmarkStart w:id="590" w:name="_Toc132377534"/>
      <w:r>
        <w:rPr>
          <w:rFonts w:hint="eastAsia"/>
        </w:rPr>
        <w:t>9、需要补充的其他内容</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pPr>
        <w:ind w:firstLine="480"/>
        <w:rPr>
          <w:rFonts w:ascii="仿宋" w:hAnsi="仿宋" w:cs="仿宋"/>
        </w:rPr>
      </w:pPr>
      <w:r>
        <w:rPr>
          <w:rFonts w:hint="eastAsia"/>
        </w:rPr>
        <w:t>需要补充的其他内容：见投标人须知前附表。</w:t>
      </w:r>
      <w:bookmarkStart w:id="591" w:name="_Toc152045598"/>
      <w:bookmarkStart w:id="592" w:name="_Toc144974565"/>
      <w:bookmarkStart w:id="593" w:name="_Toc246996241"/>
      <w:bookmarkStart w:id="594" w:name="_Toc152042375"/>
      <w:bookmarkStart w:id="595" w:name="_Toc246996984"/>
      <w:bookmarkStart w:id="596" w:name="_Toc179632616"/>
      <w:bookmarkStart w:id="597" w:name="_Toc247085756"/>
      <w:r>
        <w:rPr>
          <w:rFonts w:hint="eastAsia" w:ascii="仿宋" w:hAnsi="仿宋" w:cs="仿宋"/>
        </w:rPr>
        <w:br w:type="page"/>
      </w:r>
      <w:bookmarkStart w:id="598" w:name="_Toc478368440"/>
    </w:p>
    <w:p>
      <w:pPr>
        <w:pStyle w:val="3"/>
      </w:pPr>
      <w:bookmarkStart w:id="599" w:name="_Toc16183"/>
      <w:bookmarkStart w:id="600" w:name="_Toc6346"/>
      <w:bookmarkStart w:id="601" w:name="_Toc1044"/>
      <w:bookmarkStart w:id="602" w:name="_Toc22970"/>
      <w:bookmarkStart w:id="603" w:name="_Toc1114"/>
      <w:bookmarkStart w:id="604" w:name="_Toc15143"/>
      <w:bookmarkStart w:id="605" w:name="_Toc132377535"/>
      <w:r>
        <w:rPr>
          <w:rFonts w:hint="eastAsia"/>
        </w:rPr>
        <w:t>第三章  评标办法</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pPr>
        <w:spacing w:line="500" w:lineRule="exact"/>
        <w:ind w:firstLine="482"/>
        <w:jc w:val="center"/>
        <w:rPr>
          <w:rFonts w:ascii="仿宋" w:hAnsi="仿宋" w:cs="仿宋"/>
          <w:b/>
          <w:szCs w:val="24"/>
        </w:rPr>
      </w:pPr>
      <w:bookmarkStart w:id="606" w:name="_Toc478368441"/>
      <w:bookmarkStart w:id="607" w:name="_Toc247085757"/>
      <w:bookmarkStart w:id="608" w:name="_Toc246996985"/>
      <w:bookmarkStart w:id="609" w:name="_Toc144974566"/>
      <w:bookmarkStart w:id="610" w:name="_Toc152042376"/>
      <w:bookmarkStart w:id="611" w:name="_Toc18774"/>
      <w:bookmarkStart w:id="612" w:name="_Toc191"/>
      <w:bookmarkStart w:id="613" w:name="_Toc152045599"/>
      <w:bookmarkStart w:id="614" w:name="_Toc9914"/>
      <w:bookmarkStart w:id="615" w:name="_Toc474515438"/>
      <w:bookmarkStart w:id="616" w:name="_Toc14012"/>
      <w:bookmarkStart w:id="617" w:name="_Toc179632617"/>
      <w:bookmarkStart w:id="618" w:name="_Toc246996242"/>
      <w:bookmarkStart w:id="619" w:name="_Toc6477"/>
      <w:r>
        <w:rPr>
          <w:rFonts w:hint="eastAsia" w:ascii="仿宋" w:hAnsi="仿宋" w:cs="仿宋"/>
          <w:b/>
          <w:szCs w:val="24"/>
        </w:rPr>
        <w:t>评标办法前附表</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pPr>
        <w:ind w:firstLine="482"/>
        <w:rPr>
          <w:rFonts w:ascii="仿宋" w:hAnsi="仿宋" w:cs="仿宋"/>
          <w:b/>
          <w:bCs/>
          <w:szCs w:val="24"/>
        </w:rPr>
      </w:pPr>
      <w:bookmarkStart w:id="620" w:name="_Toc6704"/>
      <w:bookmarkStart w:id="621" w:name="_Toc14841"/>
      <w:bookmarkStart w:id="622" w:name="_Toc2094"/>
      <w:bookmarkStart w:id="623" w:name="_Toc26955"/>
      <w:bookmarkStart w:id="624" w:name="_Toc11397"/>
      <w:r>
        <w:rPr>
          <w:rFonts w:hint="eastAsia" w:ascii="仿宋" w:hAnsi="仿宋" w:cs="仿宋"/>
          <w:b/>
          <w:bCs/>
          <w:szCs w:val="24"/>
        </w:rPr>
        <w:t>表1 资格性审查表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6"/>
        <w:gridCol w:w="6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6" w:type="dxa"/>
            <w:vAlign w:val="center"/>
          </w:tcPr>
          <w:p>
            <w:pPr>
              <w:pStyle w:val="32"/>
              <w:rPr>
                <w:rFonts w:hint="default"/>
              </w:rPr>
            </w:pPr>
            <w:r>
              <w:t>具有独立承担民事责任的能力</w:t>
            </w:r>
          </w:p>
        </w:tc>
        <w:tc>
          <w:tcPr>
            <w:tcW w:w="6098" w:type="dxa"/>
            <w:vAlign w:val="center"/>
          </w:tcPr>
          <w:p>
            <w:pPr>
              <w:pStyle w:val="32"/>
              <w:jc w:val="left"/>
              <w:rPr>
                <w:rFonts w:hint="default"/>
              </w:rPr>
            </w:pPr>
            <w:r>
              <w:t>投标人提供有效的营业执照或事业单位法人证书或执业许可证或自然人的身份证明。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6" w:type="dxa"/>
            <w:vAlign w:val="center"/>
          </w:tcPr>
          <w:p>
            <w:pPr>
              <w:pStyle w:val="32"/>
              <w:rPr>
                <w:rFonts w:hint="default"/>
              </w:rPr>
            </w:pPr>
            <w:r>
              <w:t>具有履行合同所必须的设备和专业技术能力</w:t>
            </w:r>
          </w:p>
        </w:tc>
        <w:tc>
          <w:tcPr>
            <w:tcW w:w="6098" w:type="dxa"/>
            <w:vAlign w:val="center"/>
          </w:tcPr>
          <w:p>
            <w:pPr>
              <w:pStyle w:val="32"/>
              <w:jc w:val="left"/>
              <w:rPr>
                <w:rFonts w:hint="default"/>
              </w:rPr>
            </w:pPr>
            <w:r>
              <w:t>审查供应商出具的“具有履行合同所必须的设备和专业技术能力”声明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6" w:type="dxa"/>
            <w:vAlign w:val="center"/>
          </w:tcPr>
          <w:p>
            <w:pPr>
              <w:pStyle w:val="32"/>
              <w:rPr>
                <w:rFonts w:hint="default"/>
              </w:rPr>
            </w:pPr>
            <w:r>
              <w:t>信用记录</w:t>
            </w:r>
          </w:p>
        </w:tc>
        <w:tc>
          <w:tcPr>
            <w:tcW w:w="6098" w:type="dxa"/>
            <w:vAlign w:val="center"/>
          </w:tcPr>
          <w:p>
            <w:pPr>
              <w:pStyle w:val="32"/>
              <w:jc w:val="left"/>
              <w:rPr>
                <w:rFonts w:hint="default"/>
              </w:rPr>
            </w:pPr>
            <w:r>
              <w:t>到提交响应文件的截止时间，供应商未被列入失信被执行人、重大税收违法案件当事人名单。</w:t>
            </w:r>
          </w:p>
        </w:tc>
      </w:tr>
    </w:tbl>
    <w:p>
      <w:pPr>
        <w:ind w:firstLine="482"/>
        <w:rPr>
          <w:rFonts w:ascii="仿宋" w:hAnsi="仿宋" w:cs="仿宋"/>
          <w:b/>
          <w:bCs/>
          <w:szCs w:val="24"/>
        </w:rPr>
      </w:pPr>
      <w:r>
        <w:rPr>
          <w:rFonts w:hint="eastAsia" w:ascii="仿宋" w:hAnsi="仿宋" w:cs="仿宋"/>
          <w:b/>
          <w:bCs/>
          <w:szCs w:val="24"/>
        </w:rPr>
        <w:t>表2 符合性审查表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3"/>
        <w:gridCol w:w="6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3" w:type="dxa"/>
            <w:vAlign w:val="center"/>
          </w:tcPr>
          <w:p>
            <w:pPr>
              <w:pStyle w:val="32"/>
              <w:rPr>
                <w:rFonts w:hint="default"/>
              </w:rPr>
            </w:pPr>
            <w:r>
              <w:t>投标报价</w:t>
            </w:r>
          </w:p>
        </w:tc>
        <w:tc>
          <w:tcPr>
            <w:tcW w:w="6341" w:type="dxa"/>
            <w:vAlign w:val="center"/>
          </w:tcPr>
          <w:p>
            <w:pPr>
              <w:pStyle w:val="32"/>
              <w:jc w:val="left"/>
              <w:rPr>
                <w:rFonts w:hint="default"/>
              </w:rPr>
            </w:pPr>
            <w:r>
              <w:t>投标报价（包括分项报价，投标总报价）只能有一个有效报价且不超过采购预算或最高限价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3" w:type="dxa"/>
            <w:vAlign w:val="center"/>
          </w:tcPr>
          <w:p>
            <w:pPr>
              <w:pStyle w:val="32"/>
              <w:rPr>
                <w:rFonts w:hint="default"/>
              </w:rPr>
            </w:pPr>
            <w:r>
              <w:t>投标文件规范性、符合性</w:t>
            </w:r>
          </w:p>
        </w:tc>
        <w:tc>
          <w:tcPr>
            <w:tcW w:w="6341" w:type="dxa"/>
            <w:vAlign w:val="center"/>
          </w:tcPr>
          <w:p>
            <w:pPr>
              <w:pStyle w:val="32"/>
              <w:jc w:val="left"/>
              <w:rPr>
                <w:rFonts w:hint="default"/>
              </w:rPr>
            </w:pPr>
            <w:r>
              <w:t xml:space="preserve">响应文件的签署、盖章、涂改、删除、插字、公章使用等符合磋商文件要求；响应文件文件的 </w:t>
            </w:r>
          </w:p>
          <w:p>
            <w:pPr>
              <w:pStyle w:val="32"/>
              <w:jc w:val="left"/>
              <w:rPr>
                <w:rFonts w:hint="default"/>
              </w:rPr>
            </w:pPr>
            <w:r>
              <w:t>格式、文字、目录等符合磋商文件要求或对投标无实质性影响。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3" w:type="dxa"/>
            <w:vAlign w:val="center"/>
          </w:tcPr>
          <w:p>
            <w:pPr>
              <w:pStyle w:val="32"/>
              <w:rPr>
                <w:rFonts w:hint="default"/>
              </w:rPr>
            </w:pPr>
            <w:r>
              <w:t>其他要求</w:t>
            </w:r>
          </w:p>
        </w:tc>
        <w:tc>
          <w:tcPr>
            <w:tcW w:w="6341" w:type="dxa"/>
            <w:vAlign w:val="center"/>
          </w:tcPr>
          <w:p>
            <w:pPr>
              <w:pStyle w:val="32"/>
              <w:jc w:val="left"/>
              <w:rPr>
                <w:rFonts w:hint="default"/>
              </w:rPr>
            </w:pPr>
            <w:r>
              <w:t>磋商文件要求的其他无效投标情形；围标、串标和法律法规规定的其它无效投标条款。</w:t>
            </w:r>
          </w:p>
        </w:tc>
      </w:tr>
    </w:tbl>
    <w:p>
      <w:pPr>
        <w:ind w:firstLine="482"/>
        <w:rPr>
          <w:rFonts w:ascii="仿宋" w:hAnsi="仿宋" w:cs="仿宋"/>
          <w:b/>
          <w:bCs/>
          <w:szCs w:val="24"/>
        </w:rPr>
      </w:pPr>
      <w:r>
        <w:rPr>
          <w:rFonts w:hint="eastAsia" w:ascii="仿宋" w:hAnsi="仿宋" w:cs="仿宋"/>
          <w:b/>
          <w:bCs/>
          <w:szCs w:val="24"/>
        </w:rPr>
        <w:br w:type="page"/>
      </w:r>
    </w:p>
    <w:p>
      <w:pPr>
        <w:spacing w:line="500" w:lineRule="exact"/>
        <w:ind w:firstLine="482"/>
        <w:rPr>
          <w:rFonts w:ascii="仿宋" w:hAnsi="仿宋" w:cs="仿宋"/>
          <w:b/>
          <w:bCs/>
          <w:szCs w:val="24"/>
        </w:rPr>
      </w:pPr>
      <w:r>
        <w:rPr>
          <w:rFonts w:hint="eastAsia" w:ascii="仿宋" w:hAnsi="仿宋" w:cs="仿宋"/>
          <w:b/>
          <w:bCs/>
          <w:szCs w:val="24"/>
        </w:rPr>
        <w:t>表3 评分细则</w:t>
      </w:r>
      <w:bookmarkEnd w:id="620"/>
      <w:bookmarkEnd w:id="621"/>
      <w:bookmarkEnd w:id="622"/>
      <w:bookmarkEnd w:id="623"/>
      <w:bookmarkEnd w:id="624"/>
    </w:p>
    <w:tbl>
      <w:tblPr>
        <w:tblStyle w:val="16"/>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10"/>
        <w:gridCol w:w="2100"/>
        <w:gridCol w:w="6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1" w:hRule="atLeast"/>
        </w:trPr>
        <w:tc>
          <w:tcPr>
            <w:tcW w:w="1410" w:type="dxa"/>
            <w:tcBorders>
              <w:tl2br w:val="nil"/>
              <w:tr2bl w:val="nil"/>
            </w:tcBorders>
            <w:vAlign w:val="center"/>
          </w:tcPr>
          <w:p>
            <w:pPr>
              <w:pStyle w:val="32"/>
              <w:rPr>
                <w:rFonts w:hint="default"/>
              </w:rPr>
            </w:pPr>
            <w:r>
              <w:t>序号</w:t>
            </w:r>
          </w:p>
        </w:tc>
        <w:tc>
          <w:tcPr>
            <w:tcW w:w="2100" w:type="dxa"/>
            <w:tcBorders>
              <w:tl2br w:val="nil"/>
              <w:tr2bl w:val="nil"/>
            </w:tcBorders>
            <w:vAlign w:val="center"/>
          </w:tcPr>
          <w:p>
            <w:pPr>
              <w:pStyle w:val="32"/>
              <w:rPr>
                <w:rFonts w:hint="default"/>
              </w:rPr>
            </w:pPr>
            <w:r>
              <w:t>评分因素及分值</w:t>
            </w:r>
          </w:p>
        </w:tc>
        <w:tc>
          <w:tcPr>
            <w:tcW w:w="6054" w:type="dxa"/>
            <w:tcBorders>
              <w:tl2br w:val="nil"/>
              <w:tr2bl w:val="nil"/>
            </w:tcBorders>
            <w:vAlign w:val="center"/>
          </w:tcPr>
          <w:p>
            <w:pPr>
              <w:pStyle w:val="32"/>
              <w:rPr>
                <w:rFonts w:hint="default"/>
              </w:rPr>
            </w:pPr>
            <w:r>
              <w:t>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4" w:hRule="atLeast"/>
        </w:trPr>
        <w:tc>
          <w:tcPr>
            <w:tcW w:w="1410" w:type="dxa"/>
            <w:tcBorders>
              <w:tl2br w:val="nil"/>
              <w:tr2bl w:val="nil"/>
            </w:tcBorders>
            <w:vAlign w:val="center"/>
          </w:tcPr>
          <w:p>
            <w:pPr>
              <w:pStyle w:val="32"/>
              <w:rPr>
                <w:rFonts w:hint="default"/>
              </w:rPr>
            </w:pPr>
            <w:r>
              <w:t>报价部分</w:t>
            </w:r>
          </w:p>
          <w:p>
            <w:pPr>
              <w:pStyle w:val="32"/>
              <w:rPr>
                <w:rFonts w:hint="default"/>
              </w:rPr>
            </w:pPr>
            <w:r>
              <w:t>(</w:t>
            </w:r>
            <w:r>
              <w:rPr>
                <w:rFonts w:hint="default"/>
              </w:rPr>
              <w:t>6</w:t>
            </w:r>
            <w:r>
              <w:t>0分)</w:t>
            </w:r>
          </w:p>
        </w:tc>
        <w:tc>
          <w:tcPr>
            <w:tcW w:w="2100" w:type="dxa"/>
            <w:tcBorders>
              <w:tl2br w:val="nil"/>
              <w:tr2bl w:val="nil"/>
            </w:tcBorders>
            <w:vAlign w:val="center"/>
          </w:tcPr>
          <w:p>
            <w:pPr>
              <w:pStyle w:val="32"/>
              <w:rPr>
                <w:rFonts w:hint="default"/>
              </w:rPr>
            </w:pPr>
            <w:r>
              <w:t>报 价（</w:t>
            </w:r>
            <w:r>
              <w:rPr>
                <w:rFonts w:hint="default"/>
              </w:rPr>
              <w:t>6</w:t>
            </w:r>
            <w:r>
              <w:t>0分）</w:t>
            </w:r>
          </w:p>
        </w:tc>
        <w:tc>
          <w:tcPr>
            <w:tcW w:w="6054" w:type="dxa"/>
            <w:tcBorders>
              <w:tl2br w:val="nil"/>
              <w:tr2bl w:val="nil"/>
            </w:tcBorders>
            <w:vAlign w:val="center"/>
          </w:tcPr>
          <w:p>
            <w:pPr>
              <w:pStyle w:val="32"/>
              <w:jc w:val="left"/>
              <w:rPr>
                <w:rFonts w:hint="default"/>
              </w:rPr>
            </w:pPr>
            <w:r>
              <w:t>满足招标文件要求且投标价格最低的投标总报价为评标基准价。与投标报价进行比较得出投标报价得分。</w:t>
            </w:r>
          </w:p>
          <w:p>
            <w:pPr>
              <w:pStyle w:val="32"/>
              <w:jc w:val="left"/>
              <w:rPr>
                <w:rFonts w:hint="default"/>
              </w:rPr>
            </w:pPr>
            <w:r>
              <w:t>（备注：报价得分四舍五入保留小数点后两位小数。）</w:t>
            </w:r>
          </w:p>
          <w:p>
            <w:pPr>
              <w:pStyle w:val="32"/>
              <w:jc w:val="left"/>
              <w:rPr>
                <w:rFonts w:hint="default"/>
              </w:rPr>
            </w:pPr>
            <w:r>
              <w:t>投标报价得分=（评标基准价/投标报价）×70；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4" w:hRule="atLeast"/>
        </w:trPr>
        <w:tc>
          <w:tcPr>
            <w:tcW w:w="1410" w:type="dxa"/>
            <w:vMerge w:val="restart"/>
            <w:tcBorders>
              <w:tl2br w:val="nil"/>
              <w:tr2bl w:val="nil"/>
            </w:tcBorders>
            <w:vAlign w:val="center"/>
          </w:tcPr>
          <w:p>
            <w:pPr>
              <w:pStyle w:val="32"/>
              <w:rPr>
                <w:rFonts w:hint="default"/>
              </w:rPr>
            </w:pPr>
            <w:r>
              <w:rPr>
                <w:rFonts w:hint="default"/>
              </w:rPr>
              <w:t>商务部分</w:t>
            </w:r>
          </w:p>
          <w:p>
            <w:pPr>
              <w:spacing w:line="240" w:lineRule="auto"/>
              <w:ind w:firstLine="0" w:firstLineChars="0"/>
            </w:pPr>
            <w:r>
              <w:rPr>
                <w:rFonts w:hint="eastAsia"/>
              </w:rPr>
              <w:t>（</w:t>
            </w:r>
            <w:r>
              <w:t>4</w:t>
            </w:r>
            <w:r>
              <w:rPr>
                <w:rFonts w:hint="eastAsia"/>
              </w:rPr>
              <w:t>0份）</w:t>
            </w:r>
          </w:p>
        </w:tc>
        <w:tc>
          <w:tcPr>
            <w:tcW w:w="2100" w:type="dxa"/>
            <w:tcBorders>
              <w:tl2br w:val="nil"/>
              <w:tr2bl w:val="nil"/>
            </w:tcBorders>
            <w:vAlign w:val="center"/>
          </w:tcPr>
          <w:p>
            <w:pPr>
              <w:pStyle w:val="32"/>
              <w:rPr>
                <w:rFonts w:hint="default"/>
              </w:rPr>
            </w:pPr>
            <w:r>
              <w:t>安全生产保障措施（1</w:t>
            </w:r>
            <w:r>
              <w:rPr>
                <w:rFonts w:hint="default"/>
              </w:rPr>
              <w:t>0</w:t>
            </w:r>
            <w:r>
              <w:t>分）</w:t>
            </w:r>
          </w:p>
        </w:tc>
        <w:tc>
          <w:tcPr>
            <w:tcW w:w="6054" w:type="dxa"/>
            <w:tcBorders>
              <w:tl2br w:val="nil"/>
              <w:tr2bl w:val="nil"/>
            </w:tcBorders>
            <w:vAlign w:val="center"/>
          </w:tcPr>
          <w:p>
            <w:pPr>
              <w:pStyle w:val="32"/>
              <w:jc w:val="left"/>
              <w:rPr>
                <w:rFonts w:hint="default"/>
              </w:rPr>
            </w:pPr>
            <w:r>
              <w:t>投标人提供有效的安全生产保障措施，保障措施可行性较好，得</w:t>
            </w:r>
            <w:r>
              <w:rPr>
                <w:rFonts w:hint="default"/>
              </w:rPr>
              <w:t>5-10</w:t>
            </w:r>
            <w:r>
              <w:t>分；未提供或保障措施可行性一般，得0</w:t>
            </w:r>
            <w:r>
              <w:rPr>
                <w:rFonts w:hint="default"/>
              </w:rPr>
              <w:t>-5</w:t>
            </w:r>
            <w: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4" w:hRule="atLeast"/>
        </w:trPr>
        <w:tc>
          <w:tcPr>
            <w:tcW w:w="1410" w:type="dxa"/>
            <w:vMerge w:val="continue"/>
            <w:tcBorders>
              <w:tl2br w:val="nil"/>
              <w:tr2bl w:val="nil"/>
            </w:tcBorders>
            <w:vAlign w:val="center"/>
          </w:tcPr>
          <w:p>
            <w:pPr>
              <w:spacing w:line="240" w:lineRule="auto"/>
              <w:ind w:firstLine="0" w:firstLineChars="0"/>
              <w:jc w:val="center"/>
            </w:pPr>
          </w:p>
        </w:tc>
        <w:tc>
          <w:tcPr>
            <w:tcW w:w="2100" w:type="dxa"/>
            <w:tcBorders>
              <w:tl2br w:val="nil"/>
              <w:tr2bl w:val="nil"/>
            </w:tcBorders>
            <w:vAlign w:val="center"/>
          </w:tcPr>
          <w:p>
            <w:pPr>
              <w:pStyle w:val="32"/>
              <w:rPr>
                <w:rFonts w:hint="default"/>
              </w:rPr>
            </w:pPr>
            <w:r>
              <w:t>投标人业绩（30分）</w:t>
            </w:r>
          </w:p>
        </w:tc>
        <w:tc>
          <w:tcPr>
            <w:tcW w:w="6054" w:type="dxa"/>
            <w:tcBorders>
              <w:tl2br w:val="nil"/>
              <w:tr2bl w:val="nil"/>
            </w:tcBorders>
            <w:vAlign w:val="center"/>
          </w:tcPr>
          <w:p>
            <w:pPr>
              <w:pStyle w:val="32"/>
              <w:jc w:val="left"/>
              <w:rPr>
                <w:rFonts w:hint="default"/>
              </w:rPr>
            </w:pPr>
            <w:r>
              <w:t>近三年完成的类似业绩，每项得6分，最多30分</w:t>
            </w:r>
          </w:p>
        </w:tc>
      </w:tr>
    </w:tbl>
    <w:p>
      <w:pPr>
        <w:pStyle w:val="4"/>
      </w:pPr>
      <w:bookmarkStart w:id="625" w:name="_Toc24084"/>
      <w:bookmarkStart w:id="626" w:name="_Toc22886"/>
      <w:bookmarkStart w:id="627" w:name="_Toc478368442"/>
      <w:bookmarkStart w:id="628" w:name="_Toc14139"/>
      <w:bookmarkStart w:id="629" w:name="_Toc144974567"/>
      <w:bookmarkStart w:id="630" w:name="_Toc179632618"/>
      <w:bookmarkStart w:id="631" w:name="_Toc25566"/>
      <w:bookmarkStart w:id="632" w:name="_Toc474515439"/>
      <w:bookmarkStart w:id="633" w:name="_Toc152042377"/>
      <w:bookmarkStart w:id="634" w:name="_Toc13865"/>
      <w:bookmarkStart w:id="635" w:name="_Toc21395"/>
      <w:bookmarkStart w:id="636" w:name="_Toc152045600"/>
      <w:bookmarkStart w:id="637" w:name="_Toc247085758"/>
      <w:bookmarkStart w:id="638" w:name="_Toc246996243"/>
      <w:bookmarkStart w:id="639" w:name="_Toc2284"/>
      <w:bookmarkStart w:id="640" w:name="_Toc246996986"/>
      <w:bookmarkStart w:id="641" w:name="_Toc132377536"/>
      <w:r>
        <w:rPr>
          <w:rFonts w:hint="eastAsia"/>
        </w:rPr>
        <w:t>1、评标方法</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pPr>
        <w:ind w:firstLine="480"/>
      </w:pPr>
      <w:r>
        <w:rPr>
          <w:rFonts w:hint="eastAsia"/>
        </w:rPr>
        <w:t>本次评标采用综合评估法。评标委员会对满足招标文件实质性要求的投标文件，按照本章评分细则表规定的评分标准进行打分，并按得分由高到低顺序推荐3名中标候选人。投标报价低于其成本的除外。综合评分相等时，以投标报价低的优先；投标报价也相等的，由招标人或其授权的评标委员会自行确定。排名第一的中标候选人放弃中标、因不可抗力提出不能履行合同，招标人可以确定排名第二的中标候选人为中标人，排名第二的候选人因前述规定的同样原因不能签订合同的，招标人可以确定排名第三的中标候选人为中标人或者重新招标。</w:t>
      </w:r>
    </w:p>
    <w:p>
      <w:pPr>
        <w:pStyle w:val="4"/>
      </w:pPr>
      <w:bookmarkStart w:id="642" w:name="_Toc246996990"/>
      <w:bookmarkStart w:id="643" w:name="_Toc11963"/>
      <w:bookmarkStart w:id="644" w:name="_Toc27736"/>
      <w:bookmarkStart w:id="645" w:name="_Toc152045604"/>
      <w:bookmarkStart w:id="646" w:name="_Toc6279"/>
      <w:bookmarkStart w:id="647" w:name="_Toc16441"/>
      <w:bookmarkStart w:id="648" w:name="_Toc247085762"/>
      <w:bookmarkStart w:id="649" w:name="_Toc144974571"/>
      <w:bookmarkStart w:id="650" w:name="_Toc478368446"/>
      <w:bookmarkStart w:id="651" w:name="_Toc152042381"/>
      <w:bookmarkStart w:id="652" w:name="_Toc474515443"/>
      <w:bookmarkStart w:id="653" w:name="_Toc19817"/>
      <w:bookmarkStart w:id="654" w:name="_Toc21910"/>
      <w:bookmarkStart w:id="655" w:name="_Toc246996247"/>
      <w:bookmarkStart w:id="656" w:name="_Toc3110"/>
      <w:bookmarkStart w:id="657" w:name="_Toc179632622"/>
      <w:bookmarkStart w:id="658" w:name="_Toc132377537"/>
      <w:r>
        <w:rPr>
          <w:rFonts w:hint="eastAsia"/>
        </w:rPr>
        <w:t>2、评标程序</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pStyle w:val="2"/>
        <w:ind w:firstLine="482"/>
      </w:pPr>
      <w:bookmarkStart w:id="659" w:name="_Toc18958"/>
      <w:bookmarkStart w:id="660" w:name="_Toc179632623"/>
      <w:bookmarkStart w:id="661" w:name="_Toc32159"/>
      <w:bookmarkStart w:id="662" w:name="_Toc478368447"/>
      <w:bookmarkStart w:id="663" w:name="_Toc474515444"/>
      <w:bookmarkStart w:id="664" w:name="_Toc144974572"/>
      <w:bookmarkStart w:id="665" w:name="_Toc7157"/>
      <w:bookmarkStart w:id="666" w:name="_Toc22312"/>
      <w:bookmarkStart w:id="667" w:name="_Toc15169"/>
      <w:bookmarkStart w:id="668" w:name="_Toc29647"/>
      <w:bookmarkStart w:id="669" w:name="_Toc478369051"/>
      <w:bookmarkStart w:id="670" w:name="_Toc246996991"/>
      <w:bookmarkStart w:id="671" w:name="_Toc152045605"/>
      <w:bookmarkStart w:id="672" w:name="_Toc246996248"/>
      <w:bookmarkStart w:id="673" w:name="_Toc152042382"/>
      <w:bookmarkStart w:id="674" w:name="_Toc247085763"/>
      <w:bookmarkStart w:id="675" w:name="_Toc27147"/>
      <w:r>
        <w:rPr>
          <w:rFonts w:hint="eastAsia"/>
        </w:rPr>
        <w:t>2.1 初步评审</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pPr>
        <w:ind w:firstLine="480"/>
      </w:pPr>
      <w:r>
        <w:rPr>
          <w:rFonts w:hint="eastAsia"/>
        </w:rPr>
        <w:t>2.1.1 评标委员会依据评分办法规定的标准对投标文件进行初步评审。有一项不符合评审标准的，评标委员会应当否决其投标。</w:t>
      </w:r>
    </w:p>
    <w:p>
      <w:pPr>
        <w:ind w:firstLine="480"/>
      </w:pPr>
      <w:r>
        <w:rPr>
          <w:rFonts w:hint="eastAsia"/>
        </w:rPr>
        <w:t>2.1.2 投标人有以下情形之一的，评标委员会应当否决其投标：</w:t>
      </w:r>
    </w:p>
    <w:p>
      <w:pPr>
        <w:ind w:firstLine="480"/>
      </w:pPr>
      <w:r>
        <w:rPr>
          <w:rFonts w:hint="eastAsia"/>
        </w:rPr>
        <w:t>串通投标或弄虚作假或有其他违法行为的；</w:t>
      </w:r>
    </w:p>
    <w:p>
      <w:pPr>
        <w:ind w:firstLine="480"/>
      </w:pPr>
      <w:r>
        <w:rPr>
          <w:rFonts w:hint="eastAsia"/>
        </w:rPr>
        <w:t>不按评标委员会要求澄清、说明或补正的。</w:t>
      </w:r>
    </w:p>
    <w:p>
      <w:pPr>
        <w:ind w:firstLine="480"/>
      </w:pPr>
      <w:r>
        <w:rPr>
          <w:rFonts w:hint="eastAsia"/>
        </w:rPr>
        <w:t>2.1.3 投标报价有算术错误的，评标委员会按以下原则对投标报价进行修正，修正的价格经投标人书面确认后具有约束力。投标人不接受修正价格的，评标委员会应当否决其投标。</w:t>
      </w:r>
      <w:bookmarkStart w:id="676" w:name="_Toc152042383"/>
    </w:p>
    <w:p>
      <w:pPr>
        <w:ind w:firstLine="480"/>
      </w:pPr>
      <w:r>
        <w:rPr>
          <w:rFonts w:hint="eastAsia"/>
        </w:rPr>
        <w:t>2.1.3.1 投标文件中的大写金额与小写金额不一致的，以大写金额为准。</w:t>
      </w:r>
      <w:bookmarkEnd w:id="676"/>
    </w:p>
    <w:p>
      <w:pPr>
        <w:ind w:firstLine="480"/>
      </w:pPr>
      <w:r>
        <w:rPr>
          <w:rFonts w:hint="eastAsia"/>
        </w:rPr>
        <w:t>2.1.3.2 总价金额与依据单价计算出的结果不一致的，以单价金额为准修正总价，但单价金额小数点有明显错误的除外。</w:t>
      </w:r>
    </w:p>
    <w:p>
      <w:pPr>
        <w:ind w:firstLine="480"/>
      </w:pPr>
      <w:r>
        <w:rPr>
          <w:rFonts w:hint="eastAsia"/>
        </w:rPr>
        <w:t>2.1.3.3 评标后如发现总价与单价不一致的，如中标总价低于单价汇总的，按中标总价，修正单价；如中标总价高于单价汇总的，按单价汇总值修正中标合同价。</w:t>
      </w:r>
    </w:p>
    <w:p>
      <w:pPr>
        <w:pStyle w:val="2"/>
        <w:ind w:firstLine="482"/>
      </w:pPr>
      <w:bookmarkStart w:id="677" w:name="_Toc152042384"/>
      <w:bookmarkStart w:id="678" w:name="_Toc478368448"/>
      <w:bookmarkStart w:id="679" w:name="_Toc478369052"/>
      <w:bookmarkStart w:id="680" w:name="_Toc474515445"/>
      <w:bookmarkStart w:id="681" w:name="_Toc15276"/>
      <w:bookmarkStart w:id="682" w:name="_Toc217"/>
      <w:bookmarkStart w:id="683" w:name="_Toc179632624"/>
      <w:bookmarkStart w:id="684" w:name="_Toc246996992"/>
      <w:bookmarkStart w:id="685" w:name="_Toc11546"/>
      <w:bookmarkStart w:id="686" w:name="_Toc3100"/>
      <w:bookmarkStart w:id="687" w:name="_Toc247085764"/>
      <w:bookmarkStart w:id="688" w:name="_Toc144974573"/>
      <w:bookmarkStart w:id="689" w:name="_Toc152045606"/>
      <w:bookmarkStart w:id="690" w:name="_Toc246996249"/>
      <w:bookmarkStart w:id="691" w:name="_Toc20562"/>
      <w:bookmarkStart w:id="692" w:name="_Toc31555"/>
      <w:bookmarkStart w:id="693" w:name="_Toc10253"/>
      <w:r>
        <w:rPr>
          <w:rFonts w:hint="eastAsia"/>
        </w:rPr>
        <w:t>2.2 详细评审</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pPr>
        <w:ind w:firstLine="480"/>
      </w:pPr>
      <w:r>
        <w:rPr>
          <w:rFonts w:hint="eastAsia"/>
        </w:rPr>
        <w:t>2.2.1 详细评审标准：详见评分细则。</w:t>
      </w:r>
    </w:p>
    <w:p>
      <w:pPr>
        <w:ind w:firstLine="480"/>
      </w:pPr>
      <w:r>
        <w:rPr>
          <w:rFonts w:hint="eastAsia"/>
        </w:rPr>
        <w:t>2.2.3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pPr>
        <w:pStyle w:val="2"/>
        <w:ind w:firstLine="482"/>
      </w:pPr>
      <w:bookmarkStart w:id="694" w:name="_Toc144974575"/>
      <w:bookmarkStart w:id="695" w:name="_Toc23791"/>
      <w:bookmarkStart w:id="696" w:name="_Toc152045607"/>
      <w:bookmarkStart w:id="697" w:name="_Toc5520"/>
      <w:bookmarkStart w:id="698" w:name="_Toc18067"/>
      <w:bookmarkStart w:id="699" w:name="_Toc478368449"/>
      <w:bookmarkStart w:id="700" w:name="_Toc474515446"/>
      <w:bookmarkStart w:id="701" w:name="_Toc22995"/>
      <w:bookmarkStart w:id="702" w:name="_Toc2709"/>
      <w:bookmarkStart w:id="703" w:name="_Toc478369053"/>
      <w:bookmarkStart w:id="704" w:name="_Toc13557"/>
      <w:bookmarkStart w:id="705" w:name="_Toc179632625"/>
      <w:bookmarkStart w:id="706" w:name="_Toc247085765"/>
      <w:bookmarkStart w:id="707" w:name="_Toc152042385"/>
      <w:bookmarkStart w:id="708" w:name="_Toc15373"/>
      <w:bookmarkStart w:id="709" w:name="_Toc246996250"/>
      <w:bookmarkStart w:id="710" w:name="_Toc246996993"/>
      <w:r>
        <w:rPr>
          <w:rFonts w:hint="eastAsia"/>
        </w:rPr>
        <w:t>2.3 投标文件的澄清</w:t>
      </w:r>
      <w:bookmarkEnd w:id="694"/>
      <w:r>
        <w:rPr>
          <w:rFonts w:hint="eastAsia"/>
        </w:rPr>
        <w:t>和补正</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ind w:firstLine="480"/>
      </w:pPr>
      <w:r>
        <w:rPr>
          <w:rFonts w:hint="eastAsia"/>
        </w:rPr>
        <w:t>2.3.1 在评标过程中，评标委员会可以书面形式要求投标人对所提交投标文件中不明确的内容进行书面澄清或说明，或者对细微偏差进行补正。评标委员会不接受投标人主动提出的澄清、说明或补正。</w:t>
      </w:r>
    </w:p>
    <w:p>
      <w:pPr>
        <w:ind w:firstLine="480"/>
      </w:pPr>
      <w:r>
        <w:rPr>
          <w:rFonts w:hint="eastAsia"/>
        </w:rPr>
        <w:t>2.3.2 澄清、说明和补正不得改变投标文件的实质性内容。投标人的书面澄清、说明和补正属于投标文件的组成部分。</w:t>
      </w:r>
    </w:p>
    <w:p>
      <w:pPr>
        <w:ind w:firstLine="480"/>
      </w:pPr>
      <w:r>
        <w:rPr>
          <w:rFonts w:hint="eastAsia"/>
        </w:rPr>
        <w:t>2.3.3 评标委员会对投标人提交的澄清、说明或补正有疑问的，可以要求投标人进一步澄清、说明或补正，直至满足评标委员会的要求。</w:t>
      </w:r>
    </w:p>
    <w:p>
      <w:pPr>
        <w:pStyle w:val="2"/>
        <w:ind w:firstLine="482"/>
      </w:pPr>
      <w:bookmarkStart w:id="711" w:name="_Toc246996251"/>
      <w:bookmarkStart w:id="712" w:name="_Toc478369054"/>
      <w:bookmarkStart w:id="713" w:name="_Toc144974576"/>
      <w:bookmarkStart w:id="714" w:name="_Toc152045608"/>
      <w:bookmarkStart w:id="715" w:name="_Toc29528"/>
      <w:bookmarkStart w:id="716" w:name="_Toc474515447"/>
      <w:bookmarkStart w:id="717" w:name="_Toc1424"/>
      <w:bookmarkStart w:id="718" w:name="_Toc247085766"/>
      <w:bookmarkStart w:id="719" w:name="_Toc24600"/>
      <w:bookmarkStart w:id="720" w:name="_Toc246996994"/>
      <w:bookmarkStart w:id="721" w:name="_Toc6774"/>
      <w:bookmarkStart w:id="722" w:name="_Toc179632626"/>
      <w:bookmarkStart w:id="723" w:name="_Toc478368450"/>
      <w:bookmarkStart w:id="724" w:name="_Toc24536"/>
      <w:bookmarkStart w:id="725" w:name="_Toc3756"/>
      <w:bookmarkStart w:id="726" w:name="_Toc152042386"/>
      <w:bookmarkStart w:id="727" w:name="_Toc12709"/>
      <w:r>
        <w:rPr>
          <w:rFonts w:hint="eastAsia"/>
        </w:rPr>
        <w:t>2.4 评标结果</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pPr>
        <w:ind w:firstLine="480"/>
      </w:pPr>
      <w:r>
        <w:rPr>
          <w:rFonts w:hint="eastAsia"/>
        </w:rPr>
        <w:t>评标委员会按照得分由高到低的顺序推荐中标候选人。</w:t>
      </w:r>
    </w:p>
    <w:p>
      <w:pPr>
        <w:pStyle w:val="3"/>
        <w:sectPr>
          <w:pgSz w:w="11906" w:h="16838"/>
          <w:pgMar w:top="993" w:right="1304" w:bottom="1135" w:left="1304" w:header="851" w:footer="992" w:gutter="0"/>
          <w:cols w:space="720" w:num="1"/>
          <w:docGrid w:type="lines" w:linePitch="321" w:charSpace="0"/>
        </w:sectPr>
      </w:pPr>
      <w:bookmarkStart w:id="728" w:name="_Toc152045785"/>
      <w:bookmarkStart w:id="729" w:name="_Toc152042574"/>
      <w:bookmarkStart w:id="730" w:name="_Toc247085870"/>
      <w:bookmarkStart w:id="731" w:name="_Toc478368466"/>
      <w:bookmarkStart w:id="732" w:name="_Toc246996353"/>
      <w:bookmarkStart w:id="733" w:name="_Toc246997096"/>
      <w:bookmarkStart w:id="734" w:name="_Toc179632804"/>
      <w:bookmarkStart w:id="735" w:name="_Toc144974854"/>
      <w:bookmarkStart w:id="736" w:name="_Toc4578"/>
      <w:bookmarkStart w:id="737" w:name="_Toc789"/>
      <w:bookmarkStart w:id="738" w:name="_Toc771"/>
      <w:bookmarkStart w:id="739" w:name="_Toc3791"/>
      <w:bookmarkStart w:id="740" w:name="_Toc24941"/>
      <w:bookmarkStart w:id="741" w:name="_Toc32298"/>
    </w:p>
    <w:p>
      <w:pPr>
        <w:pStyle w:val="3"/>
      </w:pPr>
      <w:bookmarkStart w:id="742" w:name="_Toc22851"/>
      <w:bookmarkStart w:id="743" w:name="_Toc132377538"/>
      <w:r>
        <w:rPr>
          <w:rFonts w:hint="eastAsia"/>
        </w:rPr>
        <w:t xml:space="preserve">第四章  </w:t>
      </w:r>
      <w:bookmarkEnd w:id="728"/>
      <w:bookmarkEnd w:id="729"/>
      <w:bookmarkEnd w:id="730"/>
      <w:bookmarkEnd w:id="731"/>
      <w:bookmarkEnd w:id="732"/>
      <w:bookmarkEnd w:id="733"/>
      <w:bookmarkEnd w:id="734"/>
      <w:bookmarkEnd w:id="735"/>
      <w:bookmarkStart w:id="744" w:name="_Toc152045786"/>
      <w:bookmarkStart w:id="745" w:name="_Toc247085872"/>
      <w:bookmarkStart w:id="746" w:name="_Toc179632806"/>
      <w:bookmarkStart w:id="747" w:name="_Toc144974855"/>
      <w:bookmarkStart w:id="748" w:name="_Toc246996354"/>
      <w:bookmarkStart w:id="749" w:name="_Toc478368467"/>
      <w:bookmarkStart w:id="750" w:name="_Toc246997097"/>
      <w:bookmarkStart w:id="751" w:name="_Toc152042575"/>
      <w:r>
        <w:rPr>
          <w:rFonts w:hint="eastAsia"/>
        </w:rPr>
        <w:t>工作量及技术要求</w:t>
      </w:r>
      <w:bookmarkEnd w:id="736"/>
      <w:bookmarkEnd w:id="737"/>
      <w:bookmarkEnd w:id="738"/>
      <w:bookmarkEnd w:id="739"/>
      <w:bookmarkEnd w:id="740"/>
      <w:bookmarkEnd w:id="741"/>
      <w:bookmarkEnd w:id="742"/>
      <w:bookmarkEnd w:id="743"/>
      <w:bookmarkStart w:id="752" w:name="_Toc211758065"/>
      <w:bookmarkStart w:id="753" w:name="_Toc339094488"/>
      <w:bookmarkStart w:id="754" w:name="_Toc243210236"/>
      <w:bookmarkStart w:id="755" w:name="_Toc22012"/>
    </w:p>
    <w:p>
      <w:pPr>
        <w:pStyle w:val="4"/>
      </w:pPr>
      <w:bookmarkStart w:id="756" w:name="_Toc132377539"/>
      <w:r>
        <w:rPr>
          <w:rFonts w:hint="eastAsia"/>
        </w:rPr>
        <w:t>1</w:t>
      </w:r>
      <w:bookmarkEnd w:id="752"/>
      <w:bookmarkEnd w:id="753"/>
      <w:bookmarkEnd w:id="754"/>
      <w:r>
        <w:rPr>
          <w:rFonts w:hint="eastAsia"/>
        </w:rPr>
        <w:t>、钻探工作量</w:t>
      </w:r>
      <w:bookmarkEnd w:id="755"/>
      <w:r>
        <w:rPr>
          <w:rFonts w:hint="eastAsia"/>
        </w:rPr>
        <w:t>：</w:t>
      </w:r>
      <w:bookmarkEnd w:id="756"/>
    </w:p>
    <w:p>
      <w:pPr>
        <w:ind w:firstLine="480"/>
      </w:pPr>
      <w:r>
        <w:rPr>
          <w:rFonts w:hint="eastAsia"/>
        </w:rPr>
        <w:t>设计</w:t>
      </w:r>
      <w:r>
        <w:t>3</w:t>
      </w:r>
      <w:r>
        <w:rPr>
          <w:rFonts w:hint="eastAsia"/>
        </w:rPr>
        <w:t>00米，全孔取芯，钻探终孔孔径不小于75mm。</w:t>
      </w:r>
    </w:p>
    <w:p>
      <w:pPr>
        <w:pStyle w:val="4"/>
      </w:pPr>
      <w:bookmarkStart w:id="757" w:name="_Toc23481"/>
      <w:bookmarkStart w:id="758" w:name="_Toc132377540"/>
      <w:r>
        <w:rPr>
          <w:rFonts w:hint="eastAsia"/>
        </w:rPr>
        <w:t>2、工作技术要求</w:t>
      </w:r>
      <w:bookmarkEnd w:id="757"/>
      <w:bookmarkEnd w:id="758"/>
      <w:bookmarkStart w:id="759" w:name="_Toc284753660"/>
      <w:bookmarkStart w:id="760" w:name="_Toc120414057"/>
      <w:bookmarkStart w:id="761" w:name="_Toc63618107"/>
      <w:bookmarkStart w:id="762" w:name="_Toc283901606"/>
    </w:p>
    <w:p>
      <w:pPr>
        <w:ind w:firstLine="480"/>
      </w:pPr>
      <w:r>
        <w:t>根据（DZ/T 0341-2020）《</w:t>
      </w:r>
      <w:r>
        <w:rPr>
          <w:rFonts w:hint="eastAsia"/>
        </w:rPr>
        <w:t>矿产地质勘查规范 建筑用石料类</w:t>
      </w:r>
      <w:r>
        <w:t>》、（GB/T33444-2016）《固体矿产勘查工作规范》、（DZ/T0032－92）《地质勘查钻探岩矿心管理通则》和（DZ/T0227-2010）《地质岩心钻探规程》。钻探确定开孔段孔径为</w:t>
      </w:r>
      <w:r>
        <w:rPr>
          <w:rFonts w:hint="eastAsia"/>
        </w:rPr>
        <w:t>127</w:t>
      </w:r>
      <w:r>
        <w:t>mm，钻孔终孔直径89mm。岩芯直径75mm。</w:t>
      </w:r>
    </w:p>
    <w:p>
      <w:pPr>
        <w:ind w:firstLine="480"/>
      </w:pPr>
      <w:r>
        <w:t>本区钻探施工按照规范要求进行</w:t>
      </w:r>
    </w:p>
    <w:p>
      <w:pPr>
        <w:ind w:firstLine="480"/>
        <w:rPr>
          <w:lang w:val="zh-CN"/>
        </w:rPr>
      </w:pPr>
      <w:r>
        <w:rPr>
          <w:lang w:val="zh-CN"/>
        </w:rPr>
        <w:t>（1）钻孔弯曲度测量</w:t>
      </w:r>
    </w:p>
    <w:p>
      <w:pPr>
        <w:ind w:firstLine="480"/>
      </w:pPr>
      <w:r>
        <w:t>施工钻孔均为直孔，孔深较浅。钻孔开孔前由地质人员用地质罗盘仪校正立轴。</w:t>
      </w:r>
      <w:r>
        <w:rPr>
          <w:lang w:val="zh-CN"/>
        </w:rPr>
        <w:t>钻孔孔斜的测定仪器是KPX-2X型无线数字罗盘测斜仪，所施工的钻孔</w:t>
      </w:r>
      <w:r>
        <w:t>较浅均未超过100m，因此钻进深度不满25m的钻孔，仅施工后在终孔处</w:t>
      </w:r>
      <w:r>
        <w:rPr>
          <w:lang w:val="zh-CN"/>
        </w:rPr>
        <w:t>测量一次倾角；</w:t>
      </w:r>
      <w:r>
        <w:t>大于25m的钻孔，在钻进至25m左右和终孔后测量一次倾角与方位，天顶角小于1°。施工钻孔</w:t>
      </w:r>
      <w:r>
        <w:rPr>
          <w:rFonts w:hint="eastAsia"/>
        </w:rPr>
        <w:t>必须</w:t>
      </w:r>
      <w:r>
        <w:t>符合规范要求。</w:t>
      </w:r>
    </w:p>
    <w:p>
      <w:pPr>
        <w:ind w:firstLine="480"/>
        <w:rPr>
          <w:lang w:val="zh-CN"/>
        </w:rPr>
      </w:pPr>
      <w:r>
        <w:rPr>
          <w:lang w:val="zh-CN"/>
        </w:rPr>
        <w:t>（</w:t>
      </w:r>
      <w:r>
        <w:t>2</w:t>
      </w:r>
      <w:r>
        <w:rPr>
          <w:lang w:val="zh-CN"/>
        </w:rPr>
        <w:t>）孔深校正</w:t>
      </w:r>
    </w:p>
    <w:p>
      <w:pPr>
        <w:ind w:firstLine="480"/>
        <w:rPr>
          <w:lang w:val="zh-CN"/>
        </w:rPr>
      </w:pPr>
      <w:r>
        <w:t>施工钻孔较浅，均小于100m。钻孔开孔后，在进出矿层</w:t>
      </w:r>
      <w:r>
        <w:rPr>
          <w:lang w:val="zh-CN"/>
        </w:rPr>
        <w:t>时，</w:t>
      </w:r>
      <w:r>
        <w:t>以及</w:t>
      </w:r>
      <w:r>
        <w:rPr>
          <w:lang w:val="zh-CN"/>
        </w:rPr>
        <w:t>终孔时进行丈量钻具检查校正孔深。孔深误差均</w:t>
      </w:r>
      <w:r>
        <w:rPr>
          <w:rFonts w:hint="eastAsia"/>
          <w:lang w:val="zh-CN"/>
        </w:rPr>
        <w:t>不能</w:t>
      </w:r>
      <w:r>
        <w:rPr>
          <w:rFonts w:hint="eastAsia"/>
        </w:rPr>
        <w:t>大</w:t>
      </w:r>
      <w:r>
        <w:t>于1</w:t>
      </w:r>
      <w:r>
        <w:rPr>
          <w:lang w:val="zh-CN"/>
        </w:rPr>
        <w:t>‰，</w:t>
      </w:r>
    </w:p>
    <w:p>
      <w:pPr>
        <w:ind w:firstLine="480"/>
      </w:pPr>
      <w:r>
        <w:t>（3）采取率</w:t>
      </w:r>
    </w:p>
    <w:p>
      <w:pPr>
        <w:ind w:firstLine="480"/>
      </w:pPr>
      <w:r>
        <w:rPr>
          <w:lang w:val="zh-CN"/>
        </w:rPr>
        <w:t>所施工钻孔岩心采取率</w:t>
      </w:r>
      <w:r>
        <w:rPr>
          <w:rFonts w:hint="eastAsia"/>
          <w:lang w:val="zh-CN"/>
        </w:rPr>
        <w:t>大于7</w:t>
      </w:r>
      <w:r>
        <w:rPr>
          <w:lang w:val="zh-CN"/>
        </w:rPr>
        <w:t>0%。矿心采取率</w:t>
      </w:r>
      <w:r>
        <w:rPr>
          <w:rFonts w:hint="eastAsia"/>
          <w:lang w:val="zh-CN"/>
        </w:rPr>
        <w:t>不低于8</w:t>
      </w:r>
      <w:r>
        <w:rPr>
          <w:lang w:val="zh-CN"/>
        </w:rPr>
        <w:t>0%</w:t>
      </w:r>
      <w:r>
        <w:rPr>
          <w:rFonts w:hint="eastAsia"/>
          <w:lang w:val="zh-CN"/>
        </w:rPr>
        <w:t>，不超过1</w:t>
      </w:r>
      <w:r>
        <w:rPr>
          <w:lang w:val="zh-CN"/>
        </w:rPr>
        <w:t>30%。</w:t>
      </w:r>
      <w:r>
        <w:rPr>
          <w:rFonts w:hint="eastAsia"/>
          <w:lang w:val="zh-CN"/>
        </w:rPr>
        <w:t>必须</w:t>
      </w:r>
      <w:r>
        <w:rPr>
          <w:lang w:val="zh-CN"/>
        </w:rPr>
        <w:t>符合（</w:t>
      </w:r>
      <w:r>
        <w:t>DZ/T 0341-2020）《</w:t>
      </w:r>
      <w:r>
        <w:rPr>
          <w:rFonts w:hint="eastAsia"/>
        </w:rPr>
        <w:t>矿产地质勘查规范 建筑用石料类</w:t>
      </w:r>
      <w:r>
        <w:t>》中规定。</w:t>
      </w:r>
    </w:p>
    <w:p>
      <w:pPr>
        <w:ind w:firstLine="480"/>
      </w:pPr>
      <w:r>
        <w:t>（4）施工钻孔全部使用清水钻进，</w:t>
      </w:r>
      <w:r>
        <w:rPr>
          <w:rFonts w:hint="eastAsia"/>
        </w:rPr>
        <w:t>必须</w:t>
      </w:r>
      <w:r>
        <w:t>符合</w:t>
      </w:r>
      <w:r>
        <w:rPr>
          <w:lang w:val="zh-CN"/>
        </w:rPr>
        <w:t>（</w:t>
      </w:r>
      <w:r>
        <w:t>DZ/T 0341-2020）《</w:t>
      </w:r>
      <w:r>
        <w:rPr>
          <w:rFonts w:hint="eastAsia"/>
        </w:rPr>
        <w:t>矿产地质勘查规范 建筑用石料类</w:t>
      </w:r>
      <w:r>
        <w:t>》中钻孔泥浆要求。</w:t>
      </w:r>
    </w:p>
    <w:p>
      <w:pPr>
        <w:ind w:firstLine="480"/>
      </w:pPr>
      <w:r>
        <w:t>（5）简易水文观测情况及其质量评述</w:t>
      </w:r>
    </w:p>
    <w:p>
      <w:pPr>
        <w:ind w:firstLine="480"/>
      </w:pPr>
      <w:r>
        <w:rPr>
          <w:lang w:val="zh-CN"/>
        </w:rPr>
        <w:t>每钻进</w:t>
      </w:r>
      <w:r>
        <w:t>三回次</w:t>
      </w:r>
      <w:r>
        <w:rPr>
          <w:lang w:val="zh-CN"/>
        </w:rPr>
        <w:t>观测水位</w:t>
      </w:r>
      <w:r>
        <w:t>1</w:t>
      </w:r>
      <w:r>
        <w:rPr>
          <w:lang w:val="zh-CN"/>
        </w:rPr>
        <w:t>次，每次观测为提钻后和下钻前</w:t>
      </w:r>
      <w:r>
        <w:t>各</w:t>
      </w:r>
      <w:r>
        <w:rPr>
          <w:lang w:val="zh-CN"/>
        </w:rPr>
        <w:t>进行</w:t>
      </w:r>
      <w:r>
        <w:t>一次</w:t>
      </w:r>
      <w:r>
        <w:rPr>
          <w:lang w:val="zh-CN"/>
        </w:rPr>
        <w:t>水位测量，</w:t>
      </w:r>
      <w:r>
        <w:t>间隔时间均大于5分钟</w:t>
      </w:r>
      <w:r>
        <w:rPr>
          <w:lang w:val="zh-CN"/>
        </w:rPr>
        <w:t>。</w:t>
      </w:r>
      <w:r>
        <w:t>钻进过程中随时观测水的消耗量，终孔后进行孔内二十四小时稳定水位观测，钻进过程中遇到涌水、漏水、坍塌及其他异常现象时，做到及时记录深度，并及时记录于钻探班报表上。质量</w:t>
      </w:r>
      <w:r>
        <w:rPr>
          <w:rFonts w:hint="eastAsia"/>
        </w:rPr>
        <w:t>必须</w:t>
      </w:r>
      <w:r>
        <w:t>符合《地质岩芯钻探规程》中钻孔建议水文地质观测要求。</w:t>
      </w:r>
    </w:p>
    <w:p>
      <w:pPr>
        <w:ind w:firstLine="480"/>
      </w:pPr>
      <w:r>
        <w:t xml:space="preserve">（6）原始班报表及岩矿芯整理 </w:t>
      </w:r>
    </w:p>
    <w:p>
      <w:pPr>
        <w:ind w:firstLine="480"/>
      </w:pPr>
      <w:r>
        <w:t xml:space="preserve">原始班报表均是在现场用黑色中性笔填写，内容基本齐全、真实，没有撕毁、遗漏和丢失现象，交接班时班长和机长都亲笔签字，终孔检查无误后交地质项目部归入档案。所取岩芯均按顺序摆放在岩芯箱内，凡是大于 5cm 的岩芯均依次进行了编号，无颠倒、混乱及人为拉长现象，每回次均填放岩芯票，并按孔对所有岩芯箱进行了编号。终孔、取样后所有岩矿芯移交甲方进行统一管理。 </w:t>
      </w:r>
    </w:p>
    <w:p>
      <w:pPr>
        <w:ind w:firstLine="480"/>
      </w:pPr>
      <w:r>
        <w:t xml:space="preserve">（7）封孔 </w:t>
      </w:r>
    </w:p>
    <w:p>
      <w:pPr>
        <w:ind w:firstLine="480"/>
      </w:pPr>
      <w:r>
        <w:t>钻孔终孔后，由地质人员发给机台封孔指示书，机台按封孔指示书中的要求进行了封孔。钻孔均用 425号普通硅酸 盐水泥全孔封闭，封孔方法为泵注法。所有钻孔孔内无遗留物。封孔后埋孔口标志、水泥桩、 标明孔号、孔深、施工单位、开孔、终孔日期。</w:t>
      </w:r>
    </w:p>
    <w:p>
      <w:pPr>
        <w:ind w:firstLine="480"/>
      </w:pPr>
      <w:r>
        <w:t xml:space="preserve">（8）环境保护 </w:t>
      </w:r>
    </w:p>
    <w:p>
      <w:pPr>
        <w:ind w:firstLine="480"/>
      </w:pPr>
      <w:r>
        <w:t xml:space="preserve">为有效利用土地资源，本次工作中尽量使用定向孔及分支孔，减少了施工对土地的占用。施工过程中多数是利用已有道路，在少量的修路过程中也未有堵塞和充填排水通道现象发生。 </w:t>
      </w:r>
    </w:p>
    <w:p>
      <w:pPr>
        <w:ind w:firstLine="480"/>
      </w:pPr>
      <w:r>
        <w:t xml:space="preserve">施工过程中对三废处理严格要求，所有钻孔均是在工地低矮处修建废液池，将工地机械废液、循环系统废液、生活废水、淘汰泥浆经引水沟渠流入废液池，最后用水泥进行固化。 </w:t>
      </w:r>
    </w:p>
    <w:p>
      <w:pPr>
        <w:ind w:firstLine="480"/>
      </w:pPr>
      <w:r>
        <w:t>终孔后，所有施工场地均覆盖不低20cm厚度的腐殖土，并进行简单的植被恢复，隔年观测复绿效果较好。</w:t>
      </w:r>
    </w:p>
    <w:bookmarkEnd w:id="759"/>
    <w:bookmarkEnd w:id="760"/>
    <w:bookmarkEnd w:id="761"/>
    <w:bookmarkEnd w:id="762"/>
    <w:p>
      <w:pPr>
        <w:pStyle w:val="4"/>
      </w:pPr>
      <w:bookmarkStart w:id="763" w:name="_Toc587"/>
      <w:bookmarkStart w:id="764" w:name="_Toc132377541"/>
      <w:r>
        <w:rPr>
          <w:rFonts w:hint="eastAsia"/>
        </w:rPr>
        <w:t>3、施工工期及进度要求</w:t>
      </w:r>
      <w:bookmarkEnd w:id="763"/>
      <w:bookmarkEnd w:id="764"/>
    </w:p>
    <w:p>
      <w:pPr>
        <w:ind w:firstLine="480"/>
      </w:pPr>
      <w:r>
        <w:rPr>
          <w:rFonts w:hint="eastAsia"/>
        </w:rPr>
        <w:t>自合同签订之日起，严格按内蒙第十地质矿产勘查开发有限公司下达的月度生产计划组织施工，确保足额完成每月的生产任务。</w:t>
      </w:r>
    </w:p>
    <w:p>
      <w:pPr>
        <w:pStyle w:val="4"/>
      </w:pPr>
      <w:bookmarkStart w:id="765" w:name="_Toc132377542"/>
      <w:r>
        <w:rPr>
          <w:rFonts w:hint="eastAsia"/>
        </w:rPr>
        <w:t>4、安全施工要求</w:t>
      </w:r>
      <w:bookmarkEnd w:id="765"/>
    </w:p>
    <w:p>
      <w:pPr>
        <w:ind w:firstLine="480"/>
      </w:pPr>
      <w:bookmarkStart w:id="766" w:name="_Toc217894097"/>
      <w:bookmarkStart w:id="767" w:name="_Toc223867346"/>
      <w:bookmarkStart w:id="768" w:name="_Toc222113348"/>
      <w:r>
        <w:rPr>
          <w:rFonts w:hint="eastAsia"/>
        </w:rPr>
        <w:t>1.勘查施工必须严格执行国家及行业、施工企业制定的勘查施工相关技术规程、规范和管理标准。施工现场安全文明、环保设施及用品配备齐全，安装及使用规范、安全可靠。</w:t>
      </w:r>
      <w:r>
        <w:rPr>
          <w:rFonts w:hint="eastAsia"/>
        </w:rPr>
        <w:tab/>
      </w:r>
      <w:r>
        <w:rPr>
          <w:rFonts w:hint="eastAsia"/>
        </w:rPr>
        <w:t xml:space="preserve"> 2.为确保本工程施工过程中的安全，减少轻伤事故，杜绝发生重大事故，建立健全各级安全生产责任制。切实分解、落实安全生产责任制。明确各级人员在安全生产方面的职责，并认真严格执行，确保本项工程实现安全生产目标。</w:t>
      </w:r>
    </w:p>
    <w:p>
      <w:pPr>
        <w:ind w:firstLine="480"/>
      </w:pPr>
      <w:r>
        <w:rPr>
          <w:rFonts w:hint="eastAsia"/>
        </w:rPr>
        <w:t>3.施工企业应了解和掌握工作区安全和环境保护情况，包括动物、植物、微生物伤害源、流行传染病种、疫情传染源、水源地、自然环境、人文地理、交通等状况，并及时告知野外作业人员。</w:t>
      </w:r>
    </w:p>
    <w:p>
      <w:pPr>
        <w:ind w:firstLine="480"/>
      </w:pPr>
      <w:r>
        <w:rPr>
          <w:rFonts w:hint="eastAsia"/>
        </w:rPr>
        <w:t>4.施工配电系统设置规范，必须符合《施工现场临时用电安全技术规范》（JGJ46-2012）安全用电标准要求。</w:t>
      </w:r>
    </w:p>
    <w:p>
      <w:pPr>
        <w:ind w:firstLine="480"/>
      </w:pPr>
      <w:r>
        <w:rPr>
          <w:rFonts w:hint="eastAsia"/>
        </w:rPr>
        <w:t>5.施工现场防洪防汛、防雷电管理措施到位。在施工区危险部位，按规定设置安全警戒护栏及挂安全防护网，并悬挂环保、警示标志，标牌要齐全、规范、标准，悬挂醒目。</w:t>
      </w:r>
    </w:p>
    <w:p>
      <w:pPr>
        <w:ind w:firstLine="480"/>
      </w:pPr>
      <w:r>
        <w:rPr>
          <w:rFonts w:hint="eastAsia"/>
        </w:rPr>
        <w:t>6.做好施工现场危险源防控管理，无安全事故隐患，无“违章指挥、违规作业和违反劳动纪律”的行为。</w:t>
      </w:r>
    </w:p>
    <w:p>
      <w:pPr>
        <w:ind w:firstLine="480"/>
      </w:pPr>
      <w:r>
        <w:rPr>
          <w:rFonts w:hint="eastAsia"/>
        </w:rPr>
        <w:t>7.建立健全安全文明及环保管理工作制度及安全操作规程。相关技术教育培训、技术交底及检查验收表格、报表、报告等施工管理资料齐全完善。</w:t>
      </w:r>
    </w:p>
    <w:bookmarkEnd w:id="766"/>
    <w:bookmarkEnd w:id="767"/>
    <w:bookmarkEnd w:id="768"/>
    <w:p>
      <w:pPr>
        <w:pStyle w:val="15"/>
        <w:spacing w:line="500" w:lineRule="exact"/>
        <w:ind w:left="480" w:firstLine="480"/>
        <w:rPr>
          <w:rFonts w:ascii="仿宋" w:hAnsi="仿宋" w:cs="仿宋"/>
        </w:rPr>
      </w:pPr>
    </w:p>
    <w:p>
      <w:pPr>
        <w:pStyle w:val="15"/>
        <w:spacing w:line="500" w:lineRule="exact"/>
        <w:ind w:left="480" w:firstLine="480"/>
        <w:rPr>
          <w:rFonts w:ascii="仿宋" w:hAnsi="仿宋" w:cs="仿宋"/>
        </w:rPr>
      </w:pPr>
    </w:p>
    <w:p>
      <w:pPr>
        <w:pStyle w:val="15"/>
        <w:spacing w:line="500" w:lineRule="exact"/>
        <w:ind w:left="480" w:firstLine="480"/>
        <w:rPr>
          <w:rFonts w:ascii="仿宋" w:hAnsi="仿宋" w:cs="仿宋"/>
        </w:rPr>
      </w:pPr>
    </w:p>
    <w:p>
      <w:pPr>
        <w:pStyle w:val="15"/>
        <w:spacing w:line="500" w:lineRule="exact"/>
        <w:ind w:left="480" w:firstLine="480"/>
        <w:rPr>
          <w:rFonts w:ascii="仿宋" w:hAnsi="仿宋" w:cs="仿宋"/>
        </w:rPr>
      </w:pPr>
    </w:p>
    <w:p>
      <w:pPr>
        <w:pStyle w:val="15"/>
        <w:spacing w:line="500" w:lineRule="exact"/>
        <w:ind w:left="480" w:firstLine="480"/>
        <w:rPr>
          <w:rFonts w:ascii="仿宋" w:hAnsi="仿宋" w:cs="仿宋"/>
        </w:rPr>
      </w:pPr>
    </w:p>
    <w:p>
      <w:pPr>
        <w:pStyle w:val="15"/>
        <w:spacing w:line="500" w:lineRule="exact"/>
        <w:ind w:left="480" w:firstLine="480"/>
        <w:rPr>
          <w:rFonts w:ascii="仿宋" w:hAnsi="仿宋" w:cs="仿宋"/>
        </w:rPr>
      </w:pPr>
    </w:p>
    <w:p>
      <w:pPr>
        <w:pStyle w:val="15"/>
        <w:spacing w:line="500" w:lineRule="exact"/>
        <w:ind w:left="480" w:firstLine="480"/>
        <w:rPr>
          <w:rFonts w:ascii="仿宋" w:hAnsi="仿宋" w:cs="仿宋"/>
        </w:rPr>
      </w:pPr>
    </w:p>
    <w:p>
      <w:pPr>
        <w:pStyle w:val="15"/>
        <w:spacing w:line="500" w:lineRule="exact"/>
        <w:ind w:left="480" w:firstLine="480"/>
        <w:rPr>
          <w:rFonts w:ascii="仿宋" w:hAnsi="仿宋" w:cs="仿宋"/>
        </w:rPr>
      </w:pPr>
    </w:p>
    <w:p>
      <w:pPr>
        <w:pStyle w:val="15"/>
        <w:spacing w:line="500" w:lineRule="exact"/>
        <w:ind w:left="480" w:firstLine="480"/>
        <w:rPr>
          <w:rFonts w:ascii="仿宋" w:hAnsi="仿宋" w:cs="仿宋"/>
        </w:rPr>
      </w:pPr>
    </w:p>
    <w:p>
      <w:pPr>
        <w:pStyle w:val="15"/>
        <w:spacing w:line="500" w:lineRule="exact"/>
        <w:ind w:left="480" w:firstLine="480"/>
        <w:rPr>
          <w:rFonts w:ascii="仿宋" w:hAnsi="仿宋" w:cs="仿宋"/>
        </w:rPr>
      </w:pPr>
    </w:p>
    <w:p>
      <w:pPr>
        <w:spacing w:line="500" w:lineRule="exact"/>
        <w:ind w:firstLine="480"/>
        <w:rPr>
          <w:rFonts w:ascii="仿宋" w:hAnsi="仿宋" w:cs="仿宋"/>
        </w:rPr>
      </w:pPr>
    </w:p>
    <w:p>
      <w:pPr>
        <w:pStyle w:val="15"/>
        <w:spacing w:line="500" w:lineRule="exact"/>
        <w:ind w:left="480" w:firstLine="480"/>
        <w:rPr>
          <w:rFonts w:ascii="仿宋" w:hAnsi="仿宋" w:cs="仿宋"/>
        </w:rPr>
      </w:pPr>
    </w:p>
    <w:p>
      <w:pPr>
        <w:pStyle w:val="15"/>
        <w:spacing w:line="500" w:lineRule="exact"/>
        <w:ind w:left="0" w:leftChars="0" w:firstLine="0" w:firstLineChars="0"/>
        <w:rPr>
          <w:rFonts w:ascii="仿宋" w:hAnsi="仿宋" w:cs="仿宋"/>
        </w:rPr>
      </w:pPr>
    </w:p>
    <w:p>
      <w:pPr>
        <w:pStyle w:val="3"/>
        <w:spacing w:before="0" w:after="0" w:line="500" w:lineRule="exact"/>
        <w:rPr>
          <w:rFonts w:ascii="仿宋" w:hAnsi="仿宋" w:cs="仿宋"/>
          <w:szCs w:val="21"/>
        </w:rPr>
        <w:sectPr>
          <w:pgSz w:w="11906" w:h="16838"/>
          <w:pgMar w:top="993" w:right="1304" w:bottom="1135" w:left="1304" w:header="851" w:footer="992" w:gutter="0"/>
          <w:cols w:space="720" w:num="1"/>
          <w:docGrid w:type="lines" w:linePitch="321" w:charSpace="0"/>
        </w:sectPr>
      </w:pPr>
      <w:bookmarkStart w:id="769" w:name="_Toc20591"/>
      <w:bookmarkStart w:id="770" w:name="_Toc1642"/>
      <w:bookmarkStart w:id="771" w:name="_Toc20790"/>
      <w:bookmarkStart w:id="772" w:name="_Toc16691"/>
      <w:bookmarkStart w:id="773" w:name="_Toc18456"/>
      <w:bookmarkStart w:id="774" w:name="_Toc13861"/>
    </w:p>
    <w:p>
      <w:pPr>
        <w:ind w:firstLine="480"/>
        <w:rPr>
          <w:rFonts w:ascii="仿宋" w:hAnsi="仿宋" w:cs="仿宋"/>
        </w:rPr>
      </w:pPr>
    </w:p>
    <w:p>
      <w:pPr>
        <w:ind w:firstLine="480"/>
        <w:rPr>
          <w:rFonts w:ascii="仿宋" w:hAnsi="仿宋" w:cs="仿宋"/>
        </w:rPr>
      </w:pPr>
    </w:p>
    <w:p>
      <w:pPr>
        <w:pStyle w:val="3"/>
      </w:pPr>
      <w:bookmarkStart w:id="775" w:name="_Toc132377543"/>
      <w:bookmarkStart w:id="776" w:name="_Toc5153"/>
      <w:r>
        <w:rPr>
          <w:rFonts w:hint="eastAsia"/>
        </w:rPr>
        <w:t>第五章  投标文件格式</w:t>
      </w:r>
      <w:bookmarkEnd w:id="744"/>
      <w:bookmarkEnd w:id="745"/>
      <w:bookmarkEnd w:id="746"/>
      <w:bookmarkEnd w:id="747"/>
      <w:bookmarkEnd w:id="748"/>
      <w:bookmarkEnd w:id="749"/>
      <w:bookmarkEnd w:id="750"/>
      <w:bookmarkEnd w:id="751"/>
      <w:bookmarkEnd w:id="769"/>
      <w:bookmarkEnd w:id="770"/>
      <w:bookmarkEnd w:id="771"/>
      <w:bookmarkEnd w:id="772"/>
      <w:bookmarkEnd w:id="773"/>
      <w:bookmarkEnd w:id="774"/>
      <w:bookmarkEnd w:id="775"/>
      <w:bookmarkEnd w:id="776"/>
    </w:p>
    <w:p>
      <w:pPr>
        <w:spacing w:line="500" w:lineRule="exact"/>
        <w:ind w:firstLine="480"/>
        <w:rPr>
          <w:rFonts w:ascii="仿宋" w:hAnsi="仿宋" w:cs="仿宋"/>
          <w:szCs w:val="21"/>
        </w:rPr>
      </w:pPr>
    </w:p>
    <w:p>
      <w:pPr>
        <w:spacing w:line="500" w:lineRule="exact"/>
        <w:ind w:firstLine="400"/>
        <w:rPr>
          <w:rFonts w:ascii="仿宋" w:hAnsi="仿宋" w:cs="仿宋"/>
          <w:sz w:val="20"/>
          <w:szCs w:val="20"/>
        </w:rPr>
      </w:pPr>
    </w:p>
    <w:p>
      <w:pPr>
        <w:spacing w:line="500" w:lineRule="exact"/>
        <w:ind w:firstLine="400"/>
        <w:jc w:val="center"/>
        <w:rPr>
          <w:rFonts w:ascii="仿宋" w:hAnsi="仿宋" w:cs="仿宋"/>
          <w:sz w:val="20"/>
          <w:szCs w:val="20"/>
          <w:u w:val="single"/>
        </w:rPr>
      </w:pPr>
      <w:r>
        <w:rPr>
          <w:rFonts w:hint="eastAsia" w:ascii="仿宋" w:hAnsi="仿宋" w:cs="仿宋"/>
          <w:sz w:val="20"/>
          <w:szCs w:val="20"/>
          <w:u w:val="single"/>
        </w:rPr>
        <w:t xml:space="preserve">                                          </w:t>
      </w:r>
      <w:r>
        <w:rPr>
          <w:rFonts w:hint="eastAsia" w:ascii="仿宋" w:hAnsi="仿宋" w:cs="仿宋"/>
          <w:sz w:val="20"/>
          <w:szCs w:val="20"/>
        </w:rPr>
        <w:t>（项目名称）</w:t>
      </w:r>
    </w:p>
    <w:p>
      <w:pPr>
        <w:spacing w:line="500" w:lineRule="exact"/>
        <w:ind w:firstLine="400"/>
        <w:jc w:val="center"/>
        <w:rPr>
          <w:rFonts w:ascii="仿宋" w:hAnsi="仿宋" w:cs="仿宋"/>
          <w:sz w:val="20"/>
          <w:szCs w:val="20"/>
        </w:rPr>
      </w:pPr>
    </w:p>
    <w:p>
      <w:pPr>
        <w:pStyle w:val="15"/>
        <w:spacing w:line="500" w:lineRule="exact"/>
        <w:ind w:left="480" w:firstLine="480"/>
        <w:rPr>
          <w:rFonts w:ascii="仿宋" w:hAnsi="仿宋" w:cs="仿宋"/>
        </w:rPr>
      </w:pPr>
    </w:p>
    <w:p>
      <w:pPr>
        <w:spacing w:line="500" w:lineRule="exact"/>
        <w:ind w:firstLine="400"/>
        <w:rPr>
          <w:rFonts w:ascii="仿宋" w:hAnsi="仿宋" w:cs="仿宋"/>
          <w:sz w:val="20"/>
          <w:szCs w:val="20"/>
        </w:rPr>
      </w:pPr>
    </w:p>
    <w:p>
      <w:pPr>
        <w:spacing w:line="500" w:lineRule="exact"/>
        <w:ind w:firstLine="880"/>
        <w:jc w:val="center"/>
        <w:rPr>
          <w:rFonts w:ascii="仿宋" w:hAnsi="仿宋" w:cs="仿宋"/>
          <w:sz w:val="44"/>
          <w:szCs w:val="44"/>
        </w:rPr>
      </w:pPr>
      <w:r>
        <w:rPr>
          <w:rFonts w:hint="eastAsia" w:ascii="仿宋" w:hAnsi="仿宋" w:cs="仿宋"/>
          <w:sz w:val="44"/>
          <w:szCs w:val="44"/>
        </w:rPr>
        <w:t>投  标  文  件</w:t>
      </w:r>
    </w:p>
    <w:p>
      <w:pPr>
        <w:spacing w:line="500" w:lineRule="exact"/>
        <w:ind w:firstLine="560"/>
        <w:rPr>
          <w:rFonts w:ascii="仿宋" w:hAnsi="仿宋" w:cs="仿宋"/>
          <w:sz w:val="28"/>
          <w:szCs w:val="28"/>
        </w:rPr>
      </w:pPr>
    </w:p>
    <w:p>
      <w:pPr>
        <w:spacing w:line="500" w:lineRule="exact"/>
        <w:ind w:firstLine="560"/>
        <w:rPr>
          <w:rFonts w:ascii="仿宋" w:hAnsi="仿宋" w:cs="仿宋"/>
          <w:sz w:val="28"/>
          <w:szCs w:val="28"/>
        </w:rPr>
      </w:pPr>
    </w:p>
    <w:p>
      <w:pPr>
        <w:spacing w:line="500" w:lineRule="exact"/>
        <w:ind w:firstLine="560"/>
        <w:rPr>
          <w:rFonts w:ascii="仿宋" w:hAnsi="仿宋" w:cs="仿宋"/>
          <w:sz w:val="28"/>
          <w:szCs w:val="28"/>
        </w:rPr>
      </w:pPr>
    </w:p>
    <w:p>
      <w:pPr>
        <w:spacing w:line="500" w:lineRule="exact"/>
        <w:ind w:firstLine="560"/>
        <w:rPr>
          <w:rFonts w:ascii="仿宋" w:hAnsi="仿宋" w:cs="仿宋"/>
          <w:sz w:val="28"/>
          <w:szCs w:val="28"/>
        </w:rPr>
      </w:pPr>
    </w:p>
    <w:p>
      <w:pPr>
        <w:spacing w:line="500" w:lineRule="exact"/>
        <w:ind w:firstLine="560"/>
        <w:rPr>
          <w:rFonts w:ascii="仿宋" w:hAnsi="仿宋" w:cs="仿宋"/>
          <w:sz w:val="28"/>
          <w:szCs w:val="28"/>
        </w:rPr>
      </w:pPr>
    </w:p>
    <w:p>
      <w:pPr>
        <w:spacing w:line="500" w:lineRule="exact"/>
        <w:ind w:firstLine="560"/>
        <w:rPr>
          <w:rFonts w:ascii="仿宋" w:hAnsi="仿宋" w:cs="仿宋"/>
          <w:sz w:val="28"/>
          <w:szCs w:val="28"/>
        </w:rPr>
      </w:pPr>
    </w:p>
    <w:p>
      <w:pPr>
        <w:spacing w:line="500" w:lineRule="exact"/>
        <w:ind w:firstLine="560"/>
        <w:rPr>
          <w:rFonts w:ascii="仿宋" w:hAnsi="仿宋" w:cs="仿宋"/>
          <w:sz w:val="28"/>
          <w:szCs w:val="28"/>
        </w:rPr>
      </w:pPr>
    </w:p>
    <w:p>
      <w:pPr>
        <w:spacing w:line="500" w:lineRule="exact"/>
        <w:ind w:firstLine="560"/>
        <w:rPr>
          <w:rFonts w:ascii="仿宋" w:hAnsi="仿宋" w:cs="仿宋"/>
          <w:sz w:val="28"/>
          <w:szCs w:val="28"/>
        </w:rPr>
      </w:pPr>
    </w:p>
    <w:p>
      <w:pPr>
        <w:spacing w:line="500" w:lineRule="exact"/>
        <w:ind w:firstLine="560"/>
        <w:jc w:val="center"/>
        <w:rPr>
          <w:rFonts w:ascii="仿宋" w:hAnsi="仿宋" w:cs="仿宋"/>
          <w:sz w:val="28"/>
          <w:szCs w:val="28"/>
          <w:u w:val="single"/>
        </w:rPr>
      </w:pPr>
      <w:r>
        <w:rPr>
          <w:rFonts w:hint="eastAsia" w:ascii="仿宋" w:hAnsi="仿宋" w:cs="仿宋"/>
          <w:sz w:val="28"/>
          <w:szCs w:val="28"/>
        </w:rPr>
        <w:t>投标人：</w:t>
      </w:r>
      <w:r>
        <w:rPr>
          <w:rFonts w:hint="eastAsia" w:ascii="仿宋" w:hAnsi="仿宋" w:cs="仿宋"/>
          <w:sz w:val="28"/>
          <w:szCs w:val="28"/>
          <w:u w:val="single"/>
        </w:rPr>
        <w:t xml:space="preserve">                              </w:t>
      </w:r>
      <w:r>
        <w:rPr>
          <w:rFonts w:hint="eastAsia" w:ascii="仿宋" w:hAnsi="仿宋" w:cs="仿宋"/>
          <w:sz w:val="28"/>
          <w:szCs w:val="28"/>
        </w:rPr>
        <w:t>（盖单位公章）</w:t>
      </w:r>
    </w:p>
    <w:p>
      <w:pPr>
        <w:spacing w:line="500" w:lineRule="exact"/>
        <w:ind w:firstLine="560"/>
        <w:jc w:val="center"/>
        <w:rPr>
          <w:rFonts w:ascii="仿宋" w:hAnsi="仿宋" w:cs="仿宋"/>
          <w:sz w:val="28"/>
          <w:szCs w:val="28"/>
        </w:rPr>
      </w:pPr>
      <w:r>
        <w:rPr>
          <w:rFonts w:hint="eastAsia" w:ascii="仿宋" w:hAnsi="仿宋" w:cs="仿宋"/>
          <w:sz w:val="28"/>
          <w:szCs w:val="28"/>
        </w:rPr>
        <w:t>法定代表人或其授权代理人：</w:t>
      </w:r>
      <w:r>
        <w:rPr>
          <w:rFonts w:hint="eastAsia" w:ascii="仿宋" w:hAnsi="仿宋" w:cs="仿宋"/>
          <w:sz w:val="28"/>
          <w:szCs w:val="28"/>
          <w:u w:val="single"/>
        </w:rPr>
        <w:t xml:space="preserve">                </w:t>
      </w:r>
      <w:r>
        <w:rPr>
          <w:rFonts w:hint="eastAsia" w:ascii="仿宋" w:hAnsi="仿宋" w:cs="仿宋"/>
          <w:sz w:val="28"/>
          <w:szCs w:val="28"/>
        </w:rPr>
        <w:t>（签字）</w:t>
      </w:r>
    </w:p>
    <w:p>
      <w:pPr>
        <w:spacing w:line="500" w:lineRule="exact"/>
        <w:ind w:firstLine="560"/>
        <w:jc w:val="center"/>
        <w:rPr>
          <w:rFonts w:ascii="仿宋" w:hAnsi="仿宋" w:cs="仿宋"/>
          <w:sz w:val="20"/>
          <w:szCs w:val="20"/>
        </w:rPr>
      </w:pPr>
      <w:r>
        <w:rPr>
          <w:rFonts w:hint="eastAsia" w:ascii="仿宋" w:hAnsi="仿宋" w:cs="仿宋"/>
          <w:sz w:val="28"/>
          <w:szCs w:val="28"/>
          <w:u w:val="single"/>
        </w:rPr>
        <w:t xml:space="preserve">        </w:t>
      </w:r>
      <w:r>
        <w:rPr>
          <w:rFonts w:hint="eastAsia" w:ascii="仿宋" w:hAnsi="仿宋" w:cs="仿宋"/>
          <w:sz w:val="28"/>
          <w:szCs w:val="28"/>
        </w:rPr>
        <w:t>年</w:t>
      </w:r>
      <w:r>
        <w:rPr>
          <w:rFonts w:hint="eastAsia" w:ascii="仿宋" w:hAnsi="仿宋" w:cs="仿宋"/>
          <w:sz w:val="28"/>
          <w:szCs w:val="28"/>
          <w:u w:val="single"/>
        </w:rPr>
        <w:t xml:space="preserve">        </w:t>
      </w:r>
      <w:r>
        <w:rPr>
          <w:rFonts w:hint="eastAsia" w:ascii="仿宋" w:hAnsi="仿宋" w:cs="仿宋"/>
          <w:sz w:val="28"/>
          <w:szCs w:val="28"/>
        </w:rPr>
        <w:t>月</w:t>
      </w:r>
      <w:r>
        <w:rPr>
          <w:rFonts w:hint="eastAsia" w:ascii="仿宋" w:hAnsi="仿宋" w:cs="仿宋"/>
          <w:sz w:val="28"/>
          <w:szCs w:val="28"/>
          <w:u w:val="single"/>
        </w:rPr>
        <w:t xml:space="preserve">        </w:t>
      </w:r>
      <w:r>
        <w:rPr>
          <w:rFonts w:hint="eastAsia" w:ascii="仿宋" w:hAnsi="仿宋" w:cs="仿宋"/>
          <w:sz w:val="28"/>
          <w:szCs w:val="28"/>
        </w:rPr>
        <w:t>日</w:t>
      </w:r>
    </w:p>
    <w:p>
      <w:pPr>
        <w:spacing w:line="500" w:lineRule="exact"/>
        <w:ind w:firstLine="480"/>
        <w:jc w:val="center"/>
        <w:rPr>
          <w:rFonts w:ascii="仿宋" w:hAnsi="仿宋" w:cs="仿宋"/>
        </w:rPr>
      </w:pPr>
      <w:r>
        <w:rPr>
          <w:rFonts w:hint="eastAsia" w:ascii="仿宋" w:hAnsi="仿宋" w:cs="仿宋"/>
        </w:rPr>
        <w:br w:type="page"/>
      </w:r>
    </w:p>
    <w:p>
      <w:pPr>
        <w:spacing w:line="500" w:lineRule="exact"/>
        <w:ind w:firstLine="560"/>
        <w:jc w:val="center"/>
        <w:rPr>
          <w:rFonts w:ascii="仿宋" w:hAnsi="仿宋" w:cs="仿宋"/>
          <w:sz w:val="28"/>
          <w:szCs w:val="28"/>
        </w:rPr>
      </w:pPr>
      <w:r>
        <w:rPr>
          <w:rFonts w:hint="eastAsia" w:ascii="仿宋" w:hAnsi="仿宋" w:cs="仿宋"/>
          <w:sz w:val="28"/>
          <w:szCs w:val="28"/>
        </w:rPr>
        <w:t>目      录</w:t>
      </w:r>
    </w:p>
    <w:p>
      <w:pPr>
        <w:spacing w:line="500" w:lineRule="exact"/>
        <w:ind w:firstLine="560"/>
        <w:jc w:val="center"/>
        <w:rPr>
          <w:rFonts w:ascii="仿宋" w:hAnsi="仿宋" w:cs="仿宋"/>
          <w:sz w:val="28"/>
          <w:szCs w:val="28"/>
        </w:rPr>
      </w:pPr>
    </w:p>
    <w:p>
      <w:pPr>
        <w:numPr>
          <w:ilvl w:val="0"/>
          <w:numId w:val="2"/>
        </w:numPr>
        <w:spacing w:line="500" w:lineRule="exact"/>
        <w:ind w:firstLine="560" w:firstLineChars="0"/>
        <w:rPr>
          <w:rFonts w:ascii="仿宋" w:hAnsi="仿宋" w:cs="仿宋"/>
          <w:sz w:val="28"/>
          <w:szCs w:val="28"/>
        </w:rPr>
      </w:pPr>
      <w:r>
        <w:rPr>
          <w:rFonts w:hint="eastAsia" w:ascii="仿宋" w:hAnsi="仿宋" w:cs="仿宋"/>
          <w:sz w:val="28"/>
          <w:szCs w:val="28"/>
        </w:rPr>
        <w:t>投标函及投标函附录</w:t>
      </w:r>
    </w:p>
    <w:p>
      <w:pPr>
        <w:numPr>
          <w:ilvl w:val="0"/>
          <w:numId w:val="2"/>
        </w:numPr>
        <w:spacing w:line="500" w:lineRule="exact"/>
        <w:ind w:firstLine="560" w:firstLineChars="0"/>
        <w:rPr>
          <w:rFonts w:ascii="仿宋" w:hAnsi="仿宋" w:cs="仿宋"/>
          <w:sz w:val="28"/>
          <w:szCs w:val="28"/>
        </w:rPr>
      </w:pPr>
      <w:r>
        <w:rPr>
          <w:rFonts w:hint="eastAsia" w:ascii="仿宋" w:hAnsi="仿宋" w:cs="仿宋"/>
          <w:sz w:val="28"/>
          <w:szCs w:val="28"/>
        </w:rPr>
        <w:t>法定代表人身份证明</w:t>
      </w:r>
    </w:p>
    <w:p>
      <w:pPr>
        <w:numPr>
          <w:ilvl w:val="0"/>
          <w:numId w:val="2"/>
        </w:numPr>
        <w:spacing w:line="500" w:lineRule="exact"/>
        <w:ind w:firstLine="560" w:firstLineChars="0"/>
        <w:rPr>
          <w:rFonts w:ascii="仿宋" w:hAnsi="仿宋" w:cs="仿宋"/>
          <w:sz w:val="28"/>
          <w:szCs w:val="28"/>
        </w:rPr>
      </w:pPr>
      <w:r>
        <w:rPr>
          <w:rFonts w:hint="eastAsia" w:ascii="仿宋" w:hAnsi="仿宋" w:cs="仿宋"/>
          <w:sz w:val="28"/>
          <w:szCs w:val="28"/>
        </w:rPr>
        <w:t>法人代表授权委托书</w:t>
      </w:r>
    </w:p>
    <w:p>
      <w:pPr>
        <w:spacing w:line="500" w:lineRule="exact"/>
        <w:ind w:left="420" w:firstLine="0" w:firstLineChars="0"/>
        <w:rPr>
          <w:rFonts w:ascii="仿宋" w:hAnsi="仿宋" w:cs="仿宋"/>
          <w:sz w:val="28"/>
          <w:szCs w:val="28"/>
        </w:rPr>
      </w:pPr>
      <w:r>
        <w:rPr>
          <w:rFonts w:hint="eastAsia" w:ascii="仿宋" w:hAnsi="仿宋" w:cs="仿宋"/>
          <w:sz w:val="28"/>
          <w:szCs w:val="28"/>
        </w:rPr>
        <w:t>四、资格审查材料</w:t>
      </w:r>
    </w:p>
    <w:p>
      <w:pPr>
        <w:spacing w:line="500" w:lineRule="exact"/>
        <w:ind w:left="420" w:firstLine="0" w:firstLineChars="0"/>
        <w:rPr>
          <w:rFonts w:ascii="仿宋" w:hAnsi="仿宋" w:cs="仿宋"/>
          <w:sz w:val="28"/>
          <w:szCs w:val="28"/>
        </w:rPr>
      </w:pPr>
      <w:r>
        <w:rPr>
          <w:rFonts w:hint="eastAsia" w:ascii="仿宋" w:hAnsi="仿宋" w:cs="仿宋"/>
          <w:sz w:val="28"/>
          <w:szCs w:val="28"/>
        </w:rPr>
        <w:t>五、投标报价</w:t>
      </w:r>
    </w:p>
    <w:p>
      <w:pPr>
        <w:spacing w:line="500" w:lineRule="exact"/>
        <w:ind w:left="420" w:firstLine="0" w:firstLineChars="0"/>
        <w:rPr>
          <w:rFonts w:ascii="仿宋" w:hAnsi="仿宋" w:cs="仿宋"/>
          <w:sz w:val="28"/>
          <w:szCs w:val="28"/>
        </w:rPr>
      </w:pPr>
      <w:r>
        <w:rPr>
          <w:rFonts w:hint="eastAsia" w:ascii="仿宋" w:hAnsi="仿宋" w:cs="仿宋"/>
          <w:sz w:val="28"/>
          <w:szCs w:val="28"/>
        </w:rPr>
        <w:t>六、投标人业绩</w:t>
      </w:r>
    </w:p>
    <w:p>
      <w:pPr>
        <w:spacing w:line="500" w:lineRule="exact"/>
        <w:ind w:firstLine="480"/>
        <w:rPr>
          <w:rFonts w:ascii="仿宋" w:hAnsi="仿宋" w:cs="仿宋"/>
        </w:rPr>
      </w:pPr>
    </w:p>
    <w:p>
      <w:pPr>
        <w:spacing w:line="500" w:lineRule="exact"/>
        <w:jc w:val="center"/>
        <w:outlineLvl w:val="1"/>
        <w:rPr>
          <w:rFonts w:ascii="仿宋" w:hAnsi="仿宋" w:cs="仿宋"/>
          <w:b/>
          <w:bCs/>
          <w:sz w:val="32"/>
          <w:szCs w:val="32"/>
        </w:rPr>
        <w:sectPr>
          <w:pgSz w:w="11906" w:h="16838"/>
          <w:pgMar w:top="993" w:right="1304" w:bottom="1135" w:left="1304" w:header="851" w:footer="992" w:gutter="0"/>
          <w:cols w:space="720" w:num="1"/>
          <w:docGrid w:type="lines" w:linePitch="321" w:charSpace="0"/>
        </w:sectPr>
      </w:pPr>
      <w:bookmarkStart w:id="777" w:name="_Toc15356"/>
    </w:p>
    <w:p>
      <w:pPr>
        <w:spacing w:line="500" w:lineRule="exact"/>
        <w:ind w:firstLine="0" w:firstLineChars="0"/>
        <w:jc w:val="center"/>
        <w:rPr>
          <w:rFonts w:ascii="仿宋" w:hAnsi="仿宋" w:cs="仿宋"/>
          <w:sz w:val="28"/>
          <w:szCs w:val="28"/>
        </w:rPr>
      </w:pPr>
      <w:bookmarkStart w:id="778" w:name="_Toc5122"/>
      <w:r>
        <w:rPr>
          <w:rFonts w:hint="eastAsia" w:ascii="仿宋" w:hAnsi="仿宋" w:cs="仿宋"/>
          <w:b/>
          <w:bCs/>
          <w:sz w:val="32"/>
          <w:szCs w:val="32"/>
        </w:rPr>
        <w:t>一、投标函及投标函附录</w:t>
      </w:r>
      <w:bookmarkEnd w:id="777"/>
      <w:bookmarkEnd w:id="778"/>
    </w:p>
    <w:p>
      <w:pPr>
        <w:spacing w:line="500" w:lineRule="exact"/>
        <w:ind w:firstLine="0" w:firstLineChars="0"/>
        <w:jc w:val="center"/>
        <w:rPr>
          <w:rFonts w:ascii="仿宋" w:hAnsi="仿宋" w:cs="仿宋"/>
          <w:b/>
          <w:bCs/>
          <w:sz w:val="28"/>
          <w:szCs w:val="24"/>
        </w:rPr>
      </w:pPr>
      <w:r>
        <w:rPr>
          <w:rFonts w:hint="eastAsia" w:ascii="仿宋" w:hAnsi="仿宋" w:cs="仿宋"/>
          <w:b/>
          <w:bCs/>
          <w:sz w:val="28"/>
          <w:szCs w:val="24"/>
        </w:rPr>
        <w:t>（一）投标函</w:t>
      </w:r>
    </w:p>
    <w:p>
      <w:pPr>
        <w:ind w:firstLine="480"/>
      </w:pPr>
      <w:r>
        <w:rPr>
          <w:rFonts w:hint="eastAsia"/>
        </w:rPr>
        <w:t>致：</w:t>
      </w:r>
      <w:r>
        <w:rPr>
          <w:rFonts w:hint="eastAsia"/>
          <w:u w:val="single"/>
        </w:rPr>
        <w:t xml:space="preserve">                              </w:t>
      </w:r>
      <w:r>
        <w:rPr>
          <w:rFonts w:hint="eastAsia"/>
        </w:rPr>
        <w:t>（招标人名称）</w:t>
      </w:r>
    </w:p>
    <w:p>
      <w:pPr>
        <w:ind w:firstLine="480"/>
      </w:pPr>
      <w:r>
        <w:rPr>
          <w:rFonts w:hint="eastAsia"/>
        </w:rPr>
        <w:t>在充分研究</w:t>
      </w:r>
      <w:r>
        <w:rPr>
          <w:rFonts w:hint="eastAsia"/>
          <w:u w:val="single"/>
        </w:rPr>
        <w:t xml:space="preserve">                          </w:t>
      </w:r>
      <w:r>
        <w:rPr>
          <w:rFonts w:hint="eastAsia"/>
        </w:rPr>
        <w:t>（项目名称）施工招标文件的全部内容后，我们愿意按照招标文件提出的工程项目，施工要求、承包方式、主要合同条款及规定的工作量进行投标承担钻探工程施工。我单位的投钻探工程0-200m单价报价（全费用综合单价）是：</w:t>
      </w:r>
      <w:r>
        <w:rPr>
          <w:rFonts w:hint="eastAsia"/>
          <w:u w:val="single"/>
        </w:rPr>
        <w:t xml:space="preserve">             </w:t>
      </w:r>
      <w:r>
        <w:rPr>
          <w:rFonts w:hint="eastAsia"/>
        </w:rPr>
        <w:t>元/m。</w:t>
      </w:r>
    </w:p>
    <w:p>
      <w:pPr>
        <w:ind w:firstLine="480"/>
      </w:pPr>
      <w:r>
        <w:rPr>
          <w:rFonts w:hint="eastAsia"/>
        </w:rPr>
        <w:t>1.如我方中标，我方将保证在接到开工通知书后，在本投标书附录内写明的开工期内开工，保证工程质量达到招标文件规定的质量等级要求；</w:t>
      </w:r>
    </w:p>
    <w:p>
      <w:pPr>
        <w:ind w:firstLine="480"/>
      </w:pPr>
      <w:r>
        <w:rPr>
          <w:rFonts w:hint="eastAsia"/>
        </w:rPr>
        <w:t>2.如果我们的投标被接受，我们保证自签订合同后立即开始施工，并根据贵公司下达的月度生产计划组织施工，确保超额完成每月的生产任务。</w:t>
      </w:r>
    </w:p>
    <w:p>
      <w:pPr>
        <w:ind w:firstLine="480"/>
      </w:pPr>
      <w:r>
        <w:rPr>
          <w:rFonts w:hint="eastAsia"/>
        </w:rPr>
        <w:t>3.如我方中标，我方将保证按照你单位认可的条件，提交安全环保保证金。</w:t>
      </w:r>
    </w:p>
    <w:p>
      <w:pPr>
        <w:ind w:firstLine="480"/>
      </w:pPr>
      <w:r>
        <w:rPr>
          <w:rFonts w:hint="eastAsia"/>
        </w:rPr>
        <w:t>4.我们同意在规定的开标之日起</w:t>
      </w:r>
      <w:r>
        <w:rPr>
          <w:rFonts w:hint="eastAsia"/>
          <w:u w:val="single"/>
        </w:rPr>
        <w:t xml:space="preserve">     </w:t>
      </w:r>
      <w:r>
        <w:rPr>
          <w:rFonts w:hint="eastAsia"/>
        </w:rPr>
        <w:t>天的投标文件有效期内严格遵守本投标书的各项承诺。在此期限届满之前，本投标书始终将对我方具有约束力，并随时接受中标。</w:t>
      </w:r>
    </w:p>
    <w:p>
      <w:pPr>
        <w:ind w:firstLine="480"/>
      </w:pPr>
      <w:r>
        <w:rPr>
          <w:rFonts w:hint="eastAsia"/>
        </w:rPr>
        <w:t>5.在合同协议书正式签署生效之前，本投标书连同你单位的中标通知书将构成我们双方之间共同遵守的文件，对双方具有约束力。</w:t>
      </w:r>
    </w:p>
    <w:p>
      <w:pPr>
        <w:ind w:firstLine="480"/>
      </w:pPr>
      <w:r>
        <w:rPr>
          <w:rFonts w:hint="eastAsia"/>
        </w:rPr>
        <w:t>6.我方承诺我公司提供的一切资料的真实完整，由此引起的一切后果由我公司自行承担。</w:t>
      </w:r>
    </w:p>
    <w:p>
      <w:pPr>
        <w:ind w:firstLine="480"/>
      </w:pPr>
      <w:r>
        <w:rPr>
          <w:rFonts w:hint="eastAsia"/>
        </w:rPr>
        <w:t xml:space="preserve">7. </w:t>
      </w:r>
      <w:r>
        <w:rPr>
          <w:rFonts w:hint="eastAsia"/>
          <w:u w:val="single"/>
        </w:rPr>
        <w:t xml:space="preserve">                         </w:t>
      </w:r>
      <w:r>
        <w:rPr>
          <w:rFonts w:hint="eastAsia"/>
        </w:rPr>
        <w:t>（其他补充说明）。</w:t>
      </w:r>
    </w:p>
    <w:p>
      <w:pPr>
        <w:spacing w:line="500" w:lineRule="exact"/>
        <w:ind w:firstLine="480"/>
        <w:rPr>
          <w:rFonts w:ascii="仿宋" w:hAnsi="仿宋" w:cs="仿宋"/>
          <w:szCs w:val="24"/>
        </w:rPr>
      </w:pPr>
    </w:p>
    <w:p>
      <w:pPr>
        <w:ind w:firstLine="480"/>
      </w:pPr>
      <w:r>
        <w:rPr>
          <w:rFonts w:hint="eastAsia"/>
        </w:rPr>
        <w:t>投标人：</w:t>
      </w:r>
      <w:r>
        <w:rPr>
          <w:rFonts w:hint="eastAsia"/>
          <w:u w:val="single"/>
        </w:rPr>
        <w:t xml:space="preserve">                                </w:t>
      </w:r>
      <w:r>
        <w:rPr>
          <w:rFonts w:hint="eastAsia"/>
        </w:rPr>
        <w:t>（盖单位公章）</w:t>
      </w:r>
    </w:p>
    <w:p>
      <w:pPr>
        <w:ind w:firstLine="480"/>
      </w:pPr>
      <w:r>
        <w:rPr>
          <w:rFonts w:hint="eastAsia"/>
        </w:rPr>
        <w:t>法定代表人或其授权代理人：</w:t>
      </w:r>
      <w:r>
        <w:rPr>
          <w:rFonts w:hint="eastAsia"/>
          <w:u w:val="single"/>
        </w:rPr>
        <w:t xml:space="preserve">             </w:t>
      </w:r>
      <w:r>
        <w:rPr>
          <w:rFonts w:hint="eastAsia"/>
        </w:rPr>
        <w:t>（签字）</w:t>
      </w:r>
    </w:p>
    <w:p>
      <w:pPr>
        <w:ind w:firstLine="480"/>
      </w:pPr>
      <w:r>
        <w:rPr>
          <w:rFonts w:hint="eastAsia"/>
        </w:rPr>
        <w:t xml:space="preserve">地址：                                                                  </w:t>
      </w:r>
    </w:p>
    <w:p>
      <w:pPr>
        <w:ind w:firstLine="480"/>
        <w:rPr>
          <w:rFonts w:ascii="仿宋" w:hAnsi="仿宋" w:cs="仿宋"/>
          <w:szCs w:val="24"/>
        </w:rPr>
      </w:pPr>
      <w:r>
        <w:rPr>
          <w:rFonts w:hint="eastAsia"/>
        </w:rPr>
        <w:t xml:space="preserve">邮政编码：          </w:t>
      </w:r>
      <w:r>
        <w:rPr>
          <w:rFonts w:hint="eastAsia" w:ascii="仿宋" w:hAnsi="仿宋" w:cs="仿宋"/>
          <w:szCs w:val="24"/>
        </w:rPr>
        <w:t xml:space="preserve">                   </w:t>
      </w:r>
    </w:p>
    <w:p>
      <w:pPr>
        <w:spacing w:line="500" w:lineRule="exact"/>
        <w:ind w:firstLine="0" w:firstLineChars="0"/>
        <w:rPr>
          <w:rFonts w:ascii="仿宋" w:hAnsi="仿宋" w:cs="仿宋"/>
          <w:sz w:val="28"/>
          <w:szCs w:val="28"/>
        </w:rPr>
      </w:pPr>
      <w:r>
        <w:rPr>
          <w:rFonts w:hint="eastAsia" w:ascii="仿宋" w:hAnsi="仿宋" w:cs="仿宋"/>
          <w:sz w:val="28"/>
          <w:szCs w:val="28"/>
        </w:rPr>
        <w:br w:type="page"/>
      </w:r>
      <w:r>
        <w:rPr>
          <w:rFonts w:hint="eastAsia" w:ascii="仿宋" w:hAnsi="仿宋" w:cs="仿宋"/>
          <w:sz w:val="28"/>
          <w:szCs w:val="28"/>
        </w:rPr>
        <w:t xml:space="preserve">             </w:t>
      </w:r>
      <w:r>
        <w:rPr>
          <w:rFonts w:hint="eastAsia" w:ascii="仿宋" w:hAnsi="仿宋" w:cs="仿宋"/>
          <w:b/>
          <w:bCs/>
          <w:sz w:val="28"/>
          <w:szCs w:val="28"/>
        </w:rPr>
        <w:t xml:space="preserve">         （二）投标函附录</w:t>
      </w:r>
    </w:p>
    <w:p>
      <w:pPr>
        <w:ind w:firstLine="0" w:firstLineChars="0"/>
        <w:rPr>
          <w:rFonts w:ascii="仿宋" w:hAnsi="仿宋" w:cs="仿宋"/>
        </w:rPr>
      </w:pPr>
      <w:r>
        <w:rPr>
          <w:rFonts w:hint="eastAsia" w:ascii="仿宋" w:hAnsi="仿宋" w:cs="仿宋"/>
          <w:bCs/>
        </w:rPr>
        <w:t>工程名称：</w:t>
      </w:r>
      <w:r>
        <w:rPr>
          <w:rFonts w:hint="eastAsia" w:ascii="仿宋" w:hAnsi="仿宋" w:cs="仿宋"/>
          <w:u w:val="single"/>
        </w:rPr>
        <w:t xml:space="preserve">               </w:t>
      </w:r>
      <w:r>
        <w:rPr>
          <w:rFonts w:hint="eastAsia" w:ascii="仿宋" w:hAnsi="仿宋" w:cs="仿宋"/>
        </w:rPr>
        <w:t xml:space="preserve">（项目名称）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886"/>
        <w:gridCol w:w="2551"/>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r>
              <w:t>序 号</w:t>
            </w:r>
          </w:p>
        </w:tc>
        <w:tc>
          <w:tcPr>
            <w:tcW w:w="3886" w:type="dxa"/>
            <w:vAlign w:val="center"/>
          </w:tcPr>
          <w:p>
            <w:pPr>
              <w:pStyle w:val="32"/>
              <w:rPr>
                <w:rFonts w:hint="default"/>
              </w:rPr>
            </w:pPr>
            <w:r>
              <w:t>条款内容</w:t>
            </w:r>
          </w:p>
        </w:tc>
        <w:tc>
          <w:tcPr>
            <w:tcW w:w="2551" w:type="dxa"/>
            <w:vAlign w:val="center"/>
          </w:tcPr>
          <w:p>
            <w:pPr>
              <w:pStyle w:val="32"/>
              <w:rPr>
                <w:rFonts w:hint="default"/>
              </w:rPr>
            </w:pPr>
            <w:r>
              <w:t>约定内容</w:t>
            </w:r>
          </w:p>
        </w:tc>
        <w:tc>
          <w:tcPr>
            <w:tcW w:w="1666" w:type="dxa"/>
            <w:vAlign w:val="center"/>
          </w:tcPr>
          <w:p>
            <w:pPr>
              <w:pStyle w:val="32"/>
              <w:rPr>
                <w:rFonts w:hint="default"/>
              </w:rP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r>
              <w:t>1</w:t>
            </w:r>
          </w:p>
        </w:tc>
        <w:tc>
          <w:tcPr>
            <w:tcW w:w="3886" w:type="dxa"/>
            <w:vAlign w:val="center"/>
          </w:tcPr>
          <w:p>
            <w:pPr>
              <w:pStyle w:val="32"/>
              <w:rPr>
                <w:rFonts w:hint="default"/>
              </w:rPr>
            </w:pPr>
            <w:r>
              <w:t>项目负责人</w:t>
            </w:r>
          </w:p>
        </w:tc>
        <w:tc>
          <w:tcPr>
            <w:tcW w:w="2551" w:type="dxa"/>
            <w:vAlign w:val="center"/>
          </w:tcPr>
          <w:p>
            <w:pPr>
              <w:pStyle w:val="32"/>
              <w:rPr>
                <w:rFonts w:hint="default"/>
              </w:rPr>
            </w:pPr>
            <w:r>
              <w:t xml:space="preserve">姓名：          </w:t>
            </w: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r>
              <w:t>2</w:t>
            </w:r>
          </w:p>
        </w:tc>
        <w:tc>
          <w:tcPr>
            <w:tcW w:w="3886" w:type="dxa"/>
            <w:vAlign w:val="center"/>
          </w:tcPr>
          <w:p>
            <w:pPr>
              <w:pStyle w:val="32"/>
              <w:rPr>
                <w:rFonts w:hint="default"/>
              </w:rPr>
            </w:pPr>
            <w:r>
              <w:t>工期</w:t>
            </w:r>
          </w:p>
        </w:tc>
        <w:tc>
          <w:tcPr>
            <w:tcW w:w="2551" w:type="dxa"/>
            <w:vAlign w:val="center"/>
          </w:tcPr>
          <w:p>
            <w:pPr>
              <w:pStyle w:val="32"/>
              <w:rPr>
                <w:rFonts w:hint="default"/>
              </w:rPr>
            </w:pP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r>
              <w:t>3</w:t>
            </w:r>
          </w:p>
        </w:tc>
        <w:tc>
          <w:tcPr>
            <w:tcW w:w="3886" w:type="dxa"/>
            <w:vAlign w:val="center"/>
          </w:tcPr>
          <w:p>
            <w:pPr>
              <w:pStyle w:val="32"/>
              <w:rPr>
                <w:rFonts w:hint="default"/>
              </w:rPr>
            </w:pPr>
            <w:r>
              <w:t>质量标准</w:t>
            </w:r>
          </w:p>
        </w:tc>
        <w:tc>
          <w:tcPr>
            <w:tcW w:w="2551" w:type="dxa"/>
            <w:vAlign w:val="center"/>
          </w:tcPr>
          <w:p>
            <w:pPr>
              <w:pStyle w:val="32"/>
              <w:rPr>
                <w:rFonts w:hint="default"/>
              </w:rPr>
            </w:pP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p>
        </w:tc>
        <w:tc>
          <w:tcPr>
            <w:tcW w:w="3886" w:type="dxa"/>
            <w:vAlign w:val="center"/>
          </w:tcPr>
          <w:p>
            <w:pPr>
              <w:pStyle w:val="32"/>
              <w:rPr>
                <w:rFonts w:hint="default"/>
              </w:rPr>
            </w:pPr>
          </w:p>
        </w:tc>
        <w:tc>
          <w:tcPr>
            <w:tcW w:w="2551" w:type="dxa"/>
            <w:vAlign w:val="center"/>
          </w:tcPr>
          <w:p>
            <w:pPr>
              <w:pStyle w:val="32"/>
              <w:rPr>
                <w:rFonts w:hint="default"/>
              </w:rPr>
            </w:pP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r>
              <w:t>……</w:t>
            </w:r>
          </w:p>
        </w:tc>
        <w:tc>
          <w:tcPr>
            <w:tcW w:w="3886" w:type="dxa"/>
            <w:vAlign w:val="center"/>
          </w:tcPr>
          <w:p>
            <w:pPr>
              <w:pStyle w:val="32"/>
              <w:rPr>
                <w:rFonts w:hint="default"/>
              </w:rPr>
            </w:pPr>
            <w:r>
              <w:t>……</w:t>
            </w:r>
          </w:p>
        </w:tc>
        <w:tc>
          <w:tcPr>
            <w:tcW w:w="2551" w:type="dxa"/>
            <w:vAlign w:val="center"/>
          </w:tcPr>
          <w:p>
            <w:pPr>
              <w:pStyle w:val="32"/>
              <w:rPr>
                <w:rFonts w:hint="default"/>
              </w:rPr>
            </w:pP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p>
        </w:tc>
        <w:tc>
          <w:tcPr>
            <w:tcW w:w="3886" w:type="dxa"/>
            <w:vAlign w:val="center"/>
          </w:tcPr>
          <w:p>
            <w:pPr>
              <w:pStyle w:val="32"/>
              <w:rPr>
                <w:rFonts w:hint="default"/>
              </w:rPr>
            </w:pPr>
          </w:p>
        </w:tc>
        <w:tc>
          <w:tcPr>
            <w:tcW w:w="2551" w:type="dxa"/>
            <w:vAlign w:val="center"/>
          </w:tcPr>
          <w:p>
            <w:pPr>
              <w:pStyle w:val="32"/>
              <w:rPr>
                <w:rFonts w:hint="default"/>
              </w:rPr>
            </w:pP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p>
        </w:tc>
        <w:tc>
          <w:tcPr>
            <w:tcW w:w="3886" w:type="dxa"/>
            <w:vAlign w:val="center"/>
          </w:tcPr>
          <w:p>
            <w:pPr>
              <w:pStyle w:val="32"/>
              <w:rPr>
                <w:rFonts w:hint="default"/>
              </w:rPr>
            </w:pPr>
          </w:p>
        </w:tc>
        <w:tc>
          <w:tcPr>
            <w:tcW w:w="2551" w:type="dxa"/>
            <w:vAlign w:val="center"/>
          </w:tcPr>
          <w:p>
            <w:pPr>
              <w:pStyle w:val="32"/>
              <w:rPr>
                <w:rFonts w:hint="default"/>
              </w:rPr>
            </w:pP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p>
        </w:tc>
        <w:tc>
          <w:tcPr>
            <w:tcW w:w="3886" w:type="dxa"/>
            <w:vAlign w:val="center"/>
          </w:tcPr>
          <w:p>
            <w:pPr>
              <w:pStyle w:val="32"/>
              <w:rPr>
                <w:rFonts w:hint="default"/>
              </w:rPr>
            </w:pPr>
          </w:p>
        </w:tc>
        <w:tc>
          <w:tcPr>
            <w:tcW w:w="2551" w:type="dxa"/>
            <w:vAlign w:val="center"/>
          </w:tcPr>
          <w:p>
            <w:pPr>
              <w:pStyle w:val="32"/>
              <w:rPr>
                <w:rFonts w:hint="default"/>
              </w:rPr>
            </w:pP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p>
        </w:tc>
        <w:tc>
          <w:tcPr>
            <w:tcW w:w="3886" w:type="dxa"/>
            <w:vAlign w:val="center"/>
          </w:tcPr>
          <w:p>
            <w:pPr>
              <w:pStyle w:val="32"/>
              <w:rPr>
                <w:rFonts w:hint="default"/>
              </w:rPr>
            </w:pPr>
          </w:p>
        </w:tc>
        <w:tc>
          <w:tcPr>
            <w:tcW w:w="2551" w:type="dxa"/>
            <w:vAlign w:val="center"/>
          </w:tcPr>
          <w:p>
            <w:pPr>
              <w:pStyle w:val="32"/>
              <w:rPr>
                <w:rFonts w:hint="default"/>
              </w:rPr>
            </w:pP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p>
        </w:tc>
        <w:tc>
          <w:tcPr>
            <w:tcW w:w="3886" w:type="dxa"/>
            <w:vAlign w:val="center"/>
          </w:tcPr>
          <w:p>
            <w:pPr>
              <w:pStyle w:val="32"/>
              <w:rPr>
                <w:rFonts w:hint="default"/>
              </w:rPr>
            </w:pPr>
          </w:p>
        </w:tc>
        <w:tc>
          <w:tcPr>
            <w:tcW w:w="2551" w:type="dxa"/>
            <w:vAlign w:val="center"/>
          </w:tcPr>
          <w:p>
            <w:pPr>
              <w:pStyle w:val="32"/>
              <w:rPr>
                <w:rFonts w:hint="default"/>
              </w:rPr>
            </w:pP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p>
        </w:tc>
        <w:tc>
          <w:tcPr>
            <w:tcW w:w="3886" w:type="dxa"/>
            <w:vAlign w:val="center"/>
          </w:tcPr>
          <w:p>
            <w:pPr>
              <w:pStyle w:val="32"/>
              <w:rPr>
                <w:rFonts w:hint="default"/>
              </w:rPr>
            </w:pPr>
          </w:p>
        </w:tc>
        <w:tc>
          <w:tcPr>
            <w:tcW w:w="2551" w:type="dxa"/>
            <w:vAlign w:val="center"/>
          </w:tcPr>
          <w:p>
            <w:pPr>
              <w:pStyle w:val="32"/>
              <w:rPr>
                <w:rFonts w:hint="default"/>
              </w:rPr>
            </w:pP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pStyle w:val="32"/>
              <w:rPr>
                <w:rFonts w:hint="default"/>
              </w:rPr>
            </w:pPr>
          </w:p>
        </w:tc>
        <w:tc>
          <w:tcPr>
            <w:tcW w:w="3886" w:type="dxa"/>
            <w:vAlign w:val="center"/>
          </w:tcPr>
          <w:p>
            <w:pPr>
              <w:pStyle w:val="32"/>
              <w:rPr>
                <w:rFonts w:hint="default"/>
              </w:rPr>
            </w:pPr>
          </w:p>
        </w:tc>
        <w:tc>
          <w:tcPr>
            <w:tcW w:w="2551" w:type="dxa"/>
            <w:vAlign w:val="center"/>
          </w:tcPr>
          <w:p>
            <w:pPr>
              <w:pStyle w:val="32"/>
              <w:rPr>
                <w:rFonts w:hint="default"/>
              </w:rPr>
            </w:pPr>
          </w:p>
        </w:tc>
        <w:tc>
          <w:tcPr>
            <w:tcW w:w="1666" w:type="dxa"/>
            <w:vAlign w:val="center"/>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003" w:type="dxa"/>
            <w:gridSpan w:val="4"/>
            <w:vAlign w:val="center"/>
          </w:tcPr>
          <w:p>
            <w:pPr>
              <w:pStyle w:val="32"/>
              <w:rPr>
                <w:rFonts w:hint="default"/>
              </w:rPr>
            </w:pPr>
            <w:r>
              <w:t>备注：投标人在响应招标文件中规定的实质性要求和条件的基础上，可做出其他有利于招标人的承诺。此类承诺可在本表中予以补充填写。</w:t>
            </w:r>
          </w:p>
        </w:tc>
      </w:tr>
    </w:tbl>
    <w:p>
      <w:pPr>
        <w:spacing w:line="500" w:lineRule="exact"/>
        <w:ind w:firstLine="482"/>
        <w:rPr>
          <w:rFonts w:ascii="仿宋" w:hAnsi="仿宋" w:cs="仿宋"/>
          <w:b/>
          <w:szCs w:val="21"/>
        </w:rPr>
      </w:pPr>
    </w:p>
    <w:p>
      <w:pPr>
        <w:ind w:firstLine="480"/>
      </w:pPr>
      <w:r>
        <w:rPr>
          <w:rFonts w:hint="eastAsia"/>
        </w:rPr>
        <w:t>投标人（盖章）：</w:t>
      </w:r>
    </w:p>
    <w:p>
      <w:pPr>
        <w:ind w:firstLine="480"/>
      </w:pPr>
      <w:r>
        <w:rPr>
          <w:rFonts w:hint="eastAsia"/>
        </w:rPr>
        <w:t>法人代表或授权代理人（签字）：</w:t>
      </w:r>
    </w:p>
    <w:p>
      <w:pPr>
        <w:ind w:firstLine="480"/>
      </w:pPr>
      <w:r>
        <w:rPr>
          <w:rFonts w:hint="eastAsia"/>
        </w:rPr>
        <w:t>日期：        年      月      日</w:t>
      </w:r>
    </w:p>
    <w:p>
      <w:pPr>
        <w:ind w:firstLine="480"/>
      </w:pPr>
    </w:p>
    <w:p>
      <w:pPr>
        <w:ind w:firstLine="480"/>
        <w:sectPr>
          <w:footerReference r:id="rId14" w:type="default"/>
          <w:pgSz w:w="11906" w:h="16838"/>
          <w:pgMar w:top="1304" w:right="1304" w:bottom="1304" w:left="1304" w:header="851" w:footer="992" w:gutter="0"/>
          <w:cols w:space="720" w:num="1"/>
          <w:docGrid w:type="lines" w:linePitch="321" w:charSpace="0"/>
        </w:sectPr>
      </w:pPr>
    </w:p>
    <w:p>
      <w:pPr>
        <w:keepNext/>
        <w:keepLines/>
        <w:spacing w:before="340" w:after="330" w:line="500" w:lineRule="exact"/>
        <w:ind w:firstLine="0" w:firstLineChars="0"/>
        <w:jc w:val="center"/>
        <w:rPr>
          <w:rFonts w:ascii="仿宋" w:hAnsi="仿宋" w:cs="仿宋"/>
          <w:b/>
          <w:bCs/>
          <w:sz w:val="30"/>
          <w:szCs w:val="30"/>
        </w:rPr>
      </w:pPr>
      <w:bookmarkStart w:id="779" w:name="_Toc3495"/>
      <w:bookmarkStart w:id="780" w:name="_Toc3672"/>
      <w:bookmarkStart w:id="781" w:name="_Toc14622"/>
      <w:bookmarkStart w:id="782" w:name="_Toc257902067"/>
      <w:bookmarkStart w:id="783" w:name="_Toc19691"/>
      <w:bookmarkStart w:id="784" w:name="_Toc324423586"/>
      <w:bookmarkStart w:id="785" w:name="_Toc27707"/>
      <w:r>
        <w:rPr>
          <w:rFonts w:hint="eastAsia" w:ascii="仿宋" w:hAnsi="仿宋" w:cs="仿宋"/>
          <w:b/>
          <w:bCs/>
          <w:sz w:val="30"/>
          <w:szCs w:val="30"/>
        </w:rPr>
        <w:t>二、法定代表人身份证明</w:t>
      </w:r>
      <w:bookmarkEnd w:id="779"/>
      <w:bookmarkEnd w:id="780"/>
      <w:bookmarkEnd w:id="781"/>
      <w:bookmarkEnd w:id="782"/>
      <w:bookmarkEnd w:id="783"/>
      <w:bookmarkEnd w:id="784"/>
      <w:bookmarkEnd w:id="785"/>
    </w:p>
    <w:p>
      <w:pPr>
        <w:spacing w:line="500" w:lineRule="exact"/>
        <w:ind w:firstLine="560"/>
        <w:rPr>
          <w:rFonts w:ascii="仿宋" w:hAnsi="仿宋" w:cs="仿宋"/>
          <w:sz w:val="28"/>
          <w:szCs w:val="28"/>
        </w:rPr>
      </w:pPr>
      <w:r>
        <w:rPr>
          <w:rFonts w:hint="eastAsia" w:ascii="仿宋" w:hAnsi="仿宋" w:cs="仿宋"/>
          <w:sz w:val="28"/>
          <w:szCs w:val="28"/>
        </w:rPr>
        <w:t>投标人名称：</w:t>
      </w:r>
      <w:r>
        <w:rPr>
          <w:rFonts w:hint="eastAsia" w:ascii="仿宋" w:hAnsi="仿宋" w:cs="仿宋"/>
          <w:sz w:val="28"/>
          <w:szCs w:val="28"/>
          <w:u w:val="single"/>
        </w:rPr>
        <w:t xml:space="preserve">                                </w:t>
      </w:r>
      <w:r>
        <w:rPr>
          <w:rFonts w:hint="eastAsia" w:ascii="仿宋" w:hAnsi="仿宋" w:cs="仿宋"/>
          <w:sz w:val="28"/>
          <w:szCs w:val="28"/>
        </w:rPr>
        <w:t xml:space="preserve"> </w:t>
      </w:r>
    </w:p>
    <w:p>
      <w:pPr>
        <w:spacing w:line="500" w:lineRule="exact"/>
        <w:ind w:firstLine="560"/>
        <w:rPr>
          <w:rFonts w:ascii="仿宋" w:hAnsi="仿宋" w:cs="仿宋"/>
          <w:sz w:val="28"/>
          <w:szCs w:val="28"/>
        </w:rPr>
      </w:pPr>
      <w:r>
        <w:rPr>
          <w:rFonts w:hint="eastAsia" w:ascii="仿宋" w:hAnsi="仿宋" w:cs="仿宋"/>
          <w:sz w:val="28"/>
          <w:szCs w:val="28"/>
        </w:rPr>
        <w:t>单位性质：</w:t>
      </w:r>
      <w:r>
        <w:rPr>
          <w:rFonts w:hint="eastAsia" w:ascii="仿宋" w:hAnsi="仿宋" w:cs="仿宋"/>
          <w:sz w:val="28"/>
          <w:szCs w:val="28"/>
          <w:u w:val="single"/>
        </w:rPr>
        <w:t xml:space="preserve">                                  </w:t>
      </w:r>
      <w:r>
        <w:rPr>
          <w:rFonts w:hint="eastAsia" w:ascii="仿宋" w:hAnsi="仿宋" w:cs="仿宋"/>
          <w:sz w:val="28"/>
          <w:szCs w:val="28"/>
        </w:rPr>
        <w:t xml:space="preserve"> </w:t>
      </w:r>
    </w:p>
    <w:p>
      <w:pPr>
        <w:spacing w:line="500" w:lineRule="exact"/>
        <w:ind w:firstLine="560"/>
        <w:rPr>
          <w:rFonts w:ascii="仿宋" w:hAnsi="仿宋" w:cs="仿宋"/>
          <w:sz w:val="28"/>
          <w:szCs w:val="28"/>
        </w:rPr>
      </w:pPr>
      <w:r>
        <w:rPr>
          <w:rFonts w:hint="eastAsia" w:ascii="仿宋" w:hAnsi="仿宋" w:cs="仿宋"/>
          <w:sz w:val="28"/>
          <w:szCs w:val="28"/>
        </w:rPr>
        <w:t>地址：</w:t>
      </w:r>
      <w:r>
        <w:rPr>
          <w:rFonts w:hint="eastAsia" w:ascii="仿宋" w:hAnsi="仿宋" w:cs="仿宋"/>
          <w:sz w:val="28"/>
          <w:szCs w:val="28"/>
          <w:u w:val="single"/>
        </w:rPr>
        <w:t xml:space="preserve">                                      </w:t>
      </w:r>
      <w:r>
        <w:rPr>
          <w:rFonts w:hint="eastAsia" w:ascii="仿宋" w:hAnsi="仿宋" w:cs="仿宋"/>
          <w:sz w:val="28"/>
          <w:szCs w:val="28"/>
        </w:rPr>
        <w:t xml:space="preserve"> </w:t>
      </w:r>
    </w:p>
    <w:p>
      <w:pPr>
        <w:spacing w:line="500" w:lineRule="exact"/>
        <w:ind w:firstLine="560"/>
        <w:rPr>
          <w:rFonts w:ascii="仿宋" w:hAnsi="仿宋" w:cs="仿宋"/>
          <w:sz w:val="28"/>
          <w:szCs w:val="28"/>
        </w:rPr>
      </w:pPr>
      <w:r>
        <w:rPr>
          <w:rFonts w:hint="eastAsia" w:ascii="仿宋" w:hAnsi="仿宋" w:cs="仿宋"/>
          <w:sz w:val="28"/>
          <w:szCs w:val="28"/>
        </w:rPr>
        <w:t>成立时间：</w:t>
      </w:r>
      <w:r>
        <w:rPr>
          <w:rFonts w:hint="eastAsia" w:ascii="仿宋" w:hAnsi="仿宋" w:cs="仿宋"/>
          <w:sz w:val="28"/>
          <w:szCs w:val="28"/>
          <w:u w:val="single"/>
        </w:rPr>
        <w:t xml:space="preserve">        </w:t>
      </w:r>
      <w:r>
        <w:rPr>
          <w:rFonts w:hint="eastAsia" w:ascii="仿宋" w:hAnsi="仿宋" w:cs="仿宋"/>
          <w:sz w:val="28"/>
          <w:szCs w:val="28"/>
        </w:rPr>
        <w:t>年</w:t>
      </w:r>
      <w:r>
        <w:rPr>
          <w:rFonts w:hint="eastAsia" w:ascii="仿宋" w:hAnsi="仿宋" w:cs="仿宋"/>
          <w:sz w:val="28"/>
          <w:szCs w:val="28"/>
          <w:u w:val="single"/>
        </w:rPr>
        <w:t xml:space="preserve">    </w:t>
      </w:r>
      <w:r>
        <w:rPr>
          <w:rFonts w:hint="eastAsia" w:ascii="仿宋" w:hAnsi="仿宋" w:cs="仿宋"/>
          <w:sz w:val="28"/>
          <w:szCs w:val="28"/>
        </w:rPr>
        <w:t>月</w:t>
      </w:r>
      <w:r>
        <w:rPr>
          <w:rFonts w:hint="eastAsia" w:ascii="仿宋" w:hAnsi="仿宋" w:cs="仿宋"/>
          <w:sz w:val="28"/>
          <w:szCs w:val="28"/>
          <w:u w:val="single"/>
        </w:rPr>
        <w:t xml:space="preserve">   </w:t>
      </w:r>
      <w:r>
        <w:rPr>
          <w:rFonts w:hint="eastAsia" w:ascii="仿宋" w:hAnsi="仿宋" w:cs="仿宋"/>
          <w:sz w:val="28"/>
          <w:szCs w:val="28"/>
        </w:rPr>
        <w:t>日</w:t>
      </w:r>
    </w:p>
    <w:p>
      <w:pPr>
        <w:spacing w:line="500" w:lineRule="exact"/>
        <w:ind w:firstLine="560"/>
        <w:rPr>
          <w:rFonts w:ascii="仿宋" w:hAnsi="仿宋" w:cs="仿宋"/>
          <w:sz w:val="28"/>
          <w:szCs w:val="28"/>
        </w:rPr>
      </w:pPr>
      <w:r>
        <w:rPr>
          <w:rFonts w:hint="eastAsia" w:ascii="仿宋" w:hAnsi="仿宋" w:cs="仿宋"/>
          <w:sz w:val="28"/>
          <w:szCs w:val="28"/>
        </w:rPr>
        <w:t>经营期限：</w:t>
      </w:r>
      <w:r>
        <w:rPr>
          <w:rFonts w:hint="eastAsia" w:ascii="仿宋" w:hAnsi="仿宋" w:cs="仿宋"/>
          <w:sz w:val="28"/>
          <w:szCs w:val="28"/>
          <w:u w:val="single"/>
        </w:rPr>
        <w:t xml:space="preserve">                                </w:t>
      </w:r>
      <w:r>
        <w:rPr>
          <w:rFonts w:hint="eastAsia" w:ascii="仿宋" w:hAnsi="仿宋" w:cs="仿宋"/>
          <w:sz w:val="28"/>
          <w:szCs w:val="28"/>
        </w:rPr>
        <w:t xml:space="preserve"> </w:t>
      </w:r>
    </w:p>
    <w:p>
      <w:pPr>
        <w:spacing w:line="500" w:lineRule="exact"/>
        <w:ind w:firstLine="560"/>
        <w:rPr>
          <w:rFonts w:ascii="仿宋" w:hAnsi="仿宋" w:cs="仿宋"/>
          <w:sz w:val="28"/>
          <w:szCs w:val="28"/>
        </w:rPr>
      </w:pPr>
      <w:r>
        <w:rPr>
          <w:rFonts w:hint="eastAsia" w:ascii="仿宋" w:hAnsi="仿宋" w:cs="仿宋"/>
          <w:sz w:val="28"/>
          <w:szCs w:val="28"/>
        </w:rPr>
        <w:t>姓名：</w:t>
      </w:r>
      <w:r>
        <w:rPr>
          <w:rFonts w:hint="eastAsia" w:ascii="仿宋" w:hAnsi="仿宋" w:cs="仿宋"/>
          <w:sz w:val="28"/>
          <w:szCs w:val="28"/>
          <w:u w:val="single"/>
        </w:rPr>
        <w:t xml:space="preserve">           </w:t>
      </w:r>
      <w:r>
        <w:rPr>
          <w:rFonts w:hint="eastAsia" w:ascii="仿宋" w:hAnsi="仿宋" w:cs="仿宋"/>
          <w:sz w:val="28"/>
          <w:szCs w:val="28"/>
        </w:rPr>
        <w:t>性别：</w:t>
      </w:r>
      <w:r>
        <w:rPr>
          <w:rFonts w:hint="eastAsia" w:ascii="仿宋" w:hAnsi="仿宋" w:cs="仿宋"/>
          <w:sz w:val="28"/>
          <w:szCs w:val="28"/>
          <w:u w:val="single"/>
        </w:rPr>
        <w:t xml:space="preserve">        </w:t>
      </w:r>
      <w:r>
        <w:rPr>
          <w:rFonts w:hint="eastAsia" w:ascii="仿宋" w:hAnsi="仿宋" w:cs="仿宋"/>
          <w:sz w:val="28"/>
          <w:szCs w:val="28"/>
        </w:rPr>
        <w:t>年龄：</w:t>
      </w:r>
      <w:r>
        <w:rPr>
          <w:rFonts w:hint="eastAsia" w:ascii="仿宋" w:hAnsi="仿宋" w:cs="仿宋"/>
          <w:sz w:val="28"/>
          <w:szCs w:val="28"/>
          <w:u w:val="single"/>
        </w:rPr>
        <w:t xml:space="preserve">   </w:t>
      </w:r>
      <w:r>
        <w:rPr>
          <w:rFonts w:hint="eastAsia" w:ascii="仿宋" w:hAnsi="仿宋" w:cs="仿宋"/>
          <w:sz w:val="28"/>
          <w:szCs w:val="28"/>
        </w:rPr>
        <w:t>职务：</w:t>
      </w:r>
      <w:r>
        <w:rPr>
          <w:rFonts w:hint="eastAsia" w:ascii="仿宋" w:hAnsi="仿宋" w:cs="仿宋"/>
          <w:sz w:val="28"/>
          <w:szCs w:val="28"/>
          <w:u w:val="single"/>
        </w:rPr>
        <w:t xml:space="preserve">       </w:t>
      </w:r>
      <w:r>
        <w:rPr>
          <w:rFonts w:hint="eastAsia" w:ascii="仿宋" w:hAnsi="仿宋" w:cs="仿宋"/>
          <w:sz w:val="28"/>
          <w:szCs w:val="28"/>
        </w:rPr>
        <w:t>_</w:t>
      </w:r>
    </w:p>
    <w:p>
      <w:pPr>
        <w:spacing w:line="500" w:lineRule="exact"/>
        <w:ind w:firstLine="560"/>
        <w:rPr>
          <w:rFonts w:ascii="仿宋" w:hAnsi="仿宋" w:cs="仿宋"/>
          <w:sz w:val="28"/>
          <w:szCs w:val="28"/>
        </w:rPr>
      </w:pPr>
      <w:r>
        <w:rPr>
          <w:rFonts w:hint="eastAsia" w:ascii="仿宋" w:hAnsi="仿宋" w:cs="仿宋"/>
          <w:sz w:val="28"/>
          <w:szCs w:val="28"/>
        </w:rPr>
        <w:t>系</w:t>
      </w:r>
      <w:r>
        <w:rPr>
          <w:rFonts w:hint="eastAsia" w:ascii="仿宋" w:hAnsi="仿宋" w:cs="仿宋"/>
          <w:sz w:val="28"/>
          <w:szCs w:val="28"/>
          <w:u w:val="single"/>
        </w:rPr>
        <w:t xml:space="preserve">                                </w:t>
      </w:r>
      <w:r>
        <w:rPr>
          <w:rFonts w:hint="eastAsia" w:ascii="仿宋" w:hAnsi="仿宋" w:cs="仿宋"/>
          <w:sz w:val="28"/>
          <w:szCs w:val="28"/>
        </w:rPr>
        <w:t>（投标人名称）的法定代表人。</w:t>
      </w:r>
    </w:p>
    <w:p>
      <w:pPr>
        <w:tabs>
          <w:tab w:val="left" w:pos="3900"/>
        </w:tabs>
        <w:spacing w:line="500" w:lineRule="exact"/>
        <w:ind w:firstLine="1120" w:firstLineChars="400"/>
        <w:rPr>
          <w:rFonts w:ascii="仿宋" w:hAnsi="仿宋" w:cs="仿宋"/>
          <w:sz w:val="28"/>
          <w:szCs w:val="28"/>
        </w:rPr>
      </w:pPr>
      <w:r>
        <w:rPr>
          <w:rFonts w:hint="eastAsia" w:ascii="仿宋" w:hAnsi="仿宋" w:cs="仿宋"/>
          <w:sz w:val="28"/>
          <w:szCs w:val="28"/>
        </w:rPr>
        <w:t>特此证明。</w:t>
      </w:r>
      <w:r>
        <w:rPr>
          <w:rFonts w:hint="eastAsia" w:ascii="仿宋" w:hAnsi="仿宋" w:cs="仿宋"/>
          <w:sz w:val="28"/>
          <w:szCs w:val="28"/>
        </w:rPr>
        <w:tab/>
      </w:r>
    </w:p>
    <w:p>
      <w:pPr>
        <w:spacing w:line="500" w:lineRule="exact"/>
        <w:ind w:firstLine="562"/>
        <w:rPr>
          <w:rFonts w:ascii="仿宋" w:hAnsi="仿宋" w:cs="仿宋"/>
          <w:b/>
          <w:sz w:val="28"/>
          <w:szCs w:val="28"/>
        </w:rPr>
      </w:pPr>
      <w:r>
        <w:rPr>
          <w:rFonts w:hint="eastAsia" w:ascii="仿宋" w:hAnsi="仿宋" w:cs="仿宋"/>
          <w:b/>
          <w:sz w:val="28"/>
          <w:szCs w:val="28"/>
        </w:rPr>
        <w:t>后附：法定代表人身份证复印件</w:t>
      </w:r>
    </w:p>
    <w:p>
      <w:pPr>
        <w:spacing w:line="500" w:lineRule="exact"/>
        <w:ind w:firstLine="560"/>
        <w:rPr>
          <w:rFonts w:ascii="仿宋" w:hAnsi="仿宋" w:cs="仿宋"/>
          <w:sz w:val="28"/>
          <w:szCs w:val="28"/>
        </w:rPr>
      </w:pPr>
    </w:p>
    <w:p>
      <w:pPr>
        <w:spacing w:line="500" w:lineRule="exact"/>
        <w:ind w:firstLine="560"/>
        <w:rPr>
          <w:rFonts w:ascii="仿宋" w:hAnsi="仿宋" w:cs="仿宋"/>
          <w:sz w:val="28"/>
          <w:szCs w:val="28"/>
        </w:rPr>
      </w:pPr>
    </w:p>
    <w:p>
      <w:pPr>
        <w:spacing w:line="500" w:lineRule="exact"/>
        <w:ind w:firstLine="560"/>
        <w:jc w:val="right"/>
        <w:rPr>
          <w:rFonts w:ascii="仿宋" w:hAnsi="仿宋" w:cs="仿宋"/>
          <w:sz w:val="28"/>
          <w:szCs w:val="28"/>
        </w:rPr>
      </w:pPr>
      <w:r>
        <w:rPr>
          <w:rFonts w:hint="eastAsia" w:ascii="仿宋" w:hAnsi="仿宋" w:cs="仿宋"/>
          <w:sz w:val="28"/>
          <w:szCs w:val="28"/>
        </w:rPr>
        <w:t>投标人：</w:t>
      </w:r>
      <w:r>
        <w:rPr>
          <w:rFonts w:hint="eastAsia" w:ascii="仿宋" w:hAnsi="仿宋" w:cs="仿宋"/>
          <w:sz w:val="28"/>
          <w:szCs w:val="28"/>
          <w:u w:val="single"/>
        </w:rPr>
        <w:t xml:space="preserve">                      </w:t>
      </w:r>
      <w:r>
        <w:rPr>
          <w:rFonts w:hint="eastAsia" w:ascii="仿宋" w:hAnsi="仿宋" w:cs="仿宋"/>
          <w:sz w:val="28"/>
          <w:szCs w:val="28"/>
        </w:rPr>
        <w:t>（盖单位公章）</w:t>
      </w:r>
    </w:p>
    <w:p>
      <w:pPr>
        <w:spacing w:line="500" w:lineRule="exact"/>
        <w:ind w:firstLine="6020" w:firstLineChars="2150"/>
        <w:rPr>
          <w:rFonts w:ascii="仿宋" w:hAnsi="仿宋" w:cs="仿宋"/>
          <w:sz w:val="28"/>
          <w:szCs w:val="28"/>
          <w:u w:val="single"/>
        </w:rPr>
      </w:pPr>
    </w:p>
    <w:p>
      <w:pPr>
        <w:spacing w:line="500" w:lineRule="exact"/>
        <w:ind w:firstLine="560"/>
        <w:jc w:val="right"/>
        <w:rPr>
          <w:rFonts w:ascii="仿宋" w:hAnsi="仿宋" w:cs="仿宋"/>
          <w:sz w:val="28"/>
          <w:szCs w:val="28"/>
        </w:rPr>
      </w:pPr>
      <w:r>
        <w:rPr>
          <w:rFonts w:hint="eastAsia" w:ascii="仿宋" w:hAnsi="仿宋" w:cs="仿宋"/>
          <w:sz w:val="28"/>
          <w:szCs w:val="28"/>
          <w:u w:val="single"/>
        </w:rPr>
        <w:t xml:space="preserve">        </w:t>
      </w:r>
      <w:r>
        <w:rPr>
          <w:rFonts w:hint="eastAsia" w:ascii="仿宋" w:hAnsi="仿宋" w:cs="仿宋"/>
          <w:sz w:val="28"/>
          <w:szCs w:val="28"/>
        </w:rPr>
        <w:t>年</w:t>
      </w:r>
      <w:r>
        <w:rPr>
          <w:rFonts w:hint="eastAsia" w:ascii="仿宋" w:hAnsi="仿宋" w:cs="仿宋"/>
          <w:sz w:val="28"/>
          <w:szCs w:val="28"/>
          <w:u w:val="single"/>
        </w:rPr>
        <w:t xml:space="preserve">    </w:t>
      </w:r>
      <w:r>
        <w:rPr>
          <w:rFonts w:hint="eastAsia" w:ascii="仿宋" w:hAnsi="仿宋" w:cs="仿宋"/>
          <w:sz w:val="28"/>
          <w:szCs w:val="28"/>
        </w:rPr>
        <w:t>月</w:t>
      </w:r>
      <w:r>
        <w:rPr>
          <w:rFonts w:hint="eastAsia" w:ascii="仿宋" w:hAnsi="仿宋" w:cs="仿宋"/>
          <w:sz w:val="28"/>
          <w:szCs w:val="28"/>
          <w:u w:val="single"/>
        </w:rPr>
        <w:t xml:space="preserve">    </w:t>
      </w:r>
      <w:r>
        <w:rPr>
          <w:rFonts w:hint="eastAsia" w:ascii="仿宋" w:hAnsi="仿宋" w:cs="仿宋"/>
          <w:sz w:val="28"/>
          <w:szCs w:val="28"/>
        </w:rPr>
        <w:t>日</w:t>
      </w:r>
      <w:bookmarkStart w:id="786" w:name="_Toc257902068"/>
    </w:p>
    <w:p>
      <w:pPr>
        <w:spacing w:line="500" w:lineRule="exact"/>
        <w:ind w:right="560"/>
        <w:rPr>
          <w:rFonts w:ascii="仿宋" w:hAnsi="仿宋" w:cs="仿宋"/>
          <w:b/>
          <w:sz w:val="32"/>
          <w:szCs w:val="32"/>
        </w:rPr>
      </w:pPr>
    </w:p>
    <w:p>
      <w:pPr>
        <w:spacing w:line="500" w:lineRule="exact"/>
        <w:ind w:right="560"/>
        <w:rPr>
          <w:rFonts w:ascii="仿宋" w:hAnsi="仿宋" w:cs="仿宋"/>
          <w:b/>
          <w:sz w:val="32"/>
          <w:szCs w:val="32"/>
        </w:rPr>
      </w:pPr>
    </w:p>
    <w:p>
      <w:pPr>
        <w:spacing w:line="500" w:lineRule="exact"/>
        <w:ind w:right="560"/>
        <w:rPr>
          <w:rFonts w:ascii="仿宋" w:hAnsi="仿宋" w:cs="仿宋"/>
          <w:b/>
          <w:sz w:val="32"/>
          <w:szCs w:val="32"/>
        </w:rPr>
      </w:pPr>
    </w:p>
    <w:p>
      <w:pPr>
        <w:spacing w:line="500" w:lineRule="exact"/>
        <w:ind w:right="560"/>
        <w:rPr>
          <w:rFonts w:ascii="仿宋" w:hAnsi="仿宋" w:cs="仿宋"/>
          <w:b/>
          <w:sz w:val="32"/>
          <w:szCs w:val="32"/>
        </w:rPr>
      </w:pPr>
    </w:p>
    <w:p>
      <w:pPr>
        <w:rPr>
          <w:rFonts w:ascii="仿宋" w:hAnsi="仿宋" w:cs="仿宋"/>
          <w:b/>
          <w:sz w:val="32"/>
          <w:szCs w:val="32"/>
        </w:rPr>
      </w:pPr>
      <w:r>
        <w:rPr>
          <w:rFonts w:hint="eastAsia" w:ascii="仿宋" w:hAnsi="仿宋" w:cs="仿宋"/>
          <w:b/>
          <w:sz w:val="32"/>
          <w:szCs w:val="32"/>
        </w:rPr>
        <w:br w:type="page"/>
      </w:r>
    </w:p>
    <w:p>
      <w:pPr>
        <w:pStyle w:val="15"/>
        <w:ind w:left="480" w:firstLine="480"/>
        <w:rPr>
          <w:rFonts w:ascii="仿宋" w:hAnsi="仿宋" w:cs="仿宋"/>
        </w:rPr>
      </w:pPr>
    </w:p>
    <w:bookmarkEnd w:id="786"/>
    <w:p>
      <w:pPr>
        <w:keepNext/>
        <w:keepLines/>
        <w:spacing w:line="500" w:lineRule="exact"/>
        <w:ind w:firstLine="0" w:firstLineChars="0"/>
        <w:jc w:val="center"/>
        <w:rPr>
          <w:rFonts w:ascii="仿宋" w:hAnsi="仿宋" w:cs="仿宋"/>
          <w:sz w:val="30"/>
          <w:szCs w:val="30"/>
        </w:rPr>
      </w:pPr>
      <w:r>
        <w:rPr>
          <w:rFonts w:hint="eastAsia" w:ascii="仿宋" w:hAnsi="仿宋" w:cs="仿宋"/>
          <w:b/>
          <w:bCs/>
          <w:sz w:val="30"/>
          <w:szCs w:val="30"/>
        </w:rPr>
        <w:t>三、法人代表授权委托书</w:t>
      </w:r>
    </w:p>
    <w:p>
      <w:pPr>
        <w:pStyle w:val="7"/>
        <w:spacing w:before="0" w:line="500" w:lineRule="exact"/>
        <w:ind w:firstLine="0" w:firstLineChars="0"/>
        <w:rPr>
          <w:rFonts w:ascii="仿宋" w:hAnsi="仿宋" w:cs="仿宋"/>
          <w:b/>
          <w:sz w:val="28"/>
          <w:szCs w:val="24"/>
        </w:rPr>
      </w:pPr>
      <w:r>
        <w:rPr>
          <w:rFonts w:hint="eastAsia" w:ascii="仿宋" w:hAnsi="仿宋" w:cs="仿宋"/>
          <w:u w:val="single"/>
        </w:rPr>
        <w:t>内蒙古第十地质矿产勘查开发有限责任公司:</w:t>
      </w:r>
    </w:p>
    <w:p>
      <w:pPr>
        <w:tabs>
          <w:tab w:val="left" w:pos="6663"/>
        </w:tabs>
        <w:spacing w:line="500" w:lineRule="exact"/>
        <w:ind w:firstLine="480"/>
        <w:rPr>
          <w:rFonts w:ascii="仿宋" w:hAnsi="仿宋" w:cs="仿宋"/>
        </w:rPr>
      </w:pPr>
      <w:r>
        <w:rPr>
          <w:rFonts w:hint="eastAsia" w:ascii="仿宋" w:hAnsi="仿宋" w:cs="仿宋"/>
        </w:rPr>
        <w:t>本授权委托书声明：我</w:t>
      </w:r>
      <w:r>
        <w:rPr>
          <w:rFonts w:hint="eastAsia" w:ascii="仿宋" w:hAnsi="仿宋" w:cs="仿宋"/>
          <w:u w:val="single"/>
        </w:rPr>
        <w:t xml:space="preserve">   （姓名）    </w:t>
      </w:r>
      <w:r>
        <w:rPr>
          <w:rFonts w:hint="eastAsia" w:ascii="仿宋" w:hAnsi="仿宋" w:cs="仿宋"/>
        </w:rPr>
        <w:t>系</w:t>
      </w:r>
      <w:r>
        <w:rPr>
          <w:rFonts w:hint="eastAsia" w:ascii="仿宋" w:hAnsi="仿宋" w:cs="仿宋"/>
          <w:u w:val="single"/>
        </w:rPr>
        <w:t xml:space="preserve">        （投标人名称）       </w:t>
      </w:r>
      <w:r>
        <w:rPr>
          <w:rFonts w:hint="eastAsia" w:ascii="仿宋" w:hAnsi="仿宋" w:cs="仿宋"/>
        </w:rPr>
        <w:t>的法定代表人，现授权</w:t>
      </w:r>
      <w:r>
        <w:rPr>
          <w:rFonts w:hint="eastAsia" w:ascii="仿宋" w:hAnsi="仿宋" w:cs="仿宋"/>
          <w:u w:val="single"/>
        </w:rPr>
        <w:t xml:space="preserve">      （单位名称）         </w:t>
      </w:r>
      <w:r>
        <w:rPr>
          <w:rFonts w:hint="eastAsia" w:ascii="仿宋" w:hAnsi="仿宋" w:cs="仿宋"/>
        </w:rPr>
        <w:t>的</w:t>
      </w:r>
      <w:r>
        <w:rPr>
          <w:rFonts w:hint="eastAsia" w:ascii="仿宋" w:hAnsi="仿宋" w:cs="仿宋"/>
          <w:u w:val="single"/>
        </w:rPr>
        <w:t xml:space="preserve">    （姓名、职务）      </w:t>
      </w:r>
      <w:r>
        <w:rPr>
          <w:rFonts w:hint="eastAsia" w:ascii="仿宋" w:hAnsi="仿宋" w:cs="仿宋"/>
        </w:rPr>
        <w:t>为我单位授权代表，以本单位的名义参加贵方组织的</w:t>
      </w:r>
      <w:r>
        <w:rPr>
          <w:rFonts w:hint="eastAsia" w:ascii="仿宋" w:hAnsi="仿宋" w:cs="仿宋"/>
          <w:u w:val="single"/>
        </w:rPr>
        <w:t xml:space="preserve">  （项目名称）  </w:t>
      </w:r>
      <w:r>
        <w:rPr>
          <w:rFonts w:hint="eastAsia" w:ascii="仿宋" w:hAnsi="仿宋" w:cs="仿宋"/>
        </w:rPr>
        <w:t>项目的招标活动。授权代理人在投标、签订合同过程中所签署的一切文件和处理与之有关的一切事宜，我均予以承认。</w:t>
      </w:r>
    </w:p>
    <w:p>
      <w:pPr>
        <w:spacing w:line="500" w:lineRule="exact"/>
        <w:ind w:firstLine="480"/>
        <w:rPr>
          <w:rFonts w:ascii="仿宋" w:hAnsi="仿宋" w:cs="仿宋"/>
        </w:rPr>
      </w:pPr>
      <w:r>
        <w:rPr>
          <w:rFonts w:hint="eastAsia" w:ascii="仿宋" w:hAnsi="仿宋" w:cs="仿宋"/>
        </w:rPr>
        <w:t>授权代理人无转委托权。特此委托。</w:t>
      </w:r>
    </w:p>
    <w:p>
      <w:pPr>
        <w:pStyle w:val="7"/>
        <w:adjustRightInd w:val="0"/>
        <w:spacing w:before="0" w:line="500" w:lineRule="exact"/>
        <w:ind w:firstLine="480"/>
        <w:jc w:val="center"/>
        <w:textAlignment w:val="baseline"/>
        <w:rPr>
          <w:rFonts w:ascii="仿宋" w:hAnsi="仿宋" w:cs="仿宋"/>
          <w:kern w:val="0"/>
        </w:rPr>
      </w:pPr>
    </w:p>
    <w:tbl>
      <w:tblPr>
        <w:tblStyle w:val="16"/>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4860" w:type="dxa"/>
          </w:tcPr>
          <w:p>
            <w:pPr>
              <w:spacing w:line="500" w:lineRule="exact"/>
              <w:ind w:firstLine="480"/>
              <w:rPr>
                <w:rFonts w:ascii="仿宋" w:hAnsi="仿宋" w:cs="仿宋"/>
              </w:rPr>
            </w:pPr>
          </w:p>
          <w:p>
            <w:pPr>
              <w:spacing w:line="500" w:lineRule="exact"/>
              <w:ind w:firstLine="480"/>
              <w:rPr>
                <w:rFonts w:ascii="仿宋" w:hAnsi="仿宋" w:cs="仿宋"/>
              </w:rPr>
            </w:pPr>
          </w:p>
          <w:p>
            <w:pPr>
              <w:tabs>
                <w:tab w:val="left" w:pos="4581"/>
              </w:tabs>
              <w:spacing w:line="500" w:lineRule="exact"/>
              <w:ind w:firstLine="480"/>
              <w:jc w:val="center"/>
              <w:rPr>
                <w:rFonts w:ascii="仿宋" w:hAnsi="仿宋" w:cs="仿宋"/>
              </w:rPr>
            </w:pPr>
            <w:r>
              <w:rPr>
                <w:rFonts w:hint="eastAsia" w:ascii="仿宋" w:hAnsi="仿宋" w:cs="仿宋"/>
              </w:rPr>
              <w:t>（附法人代表身份证明正面复印件）</w:t>
            </w:r>
          </w:p>
          <w:p>
            <w:pPr>
              <w:spacing w:line="500" w:lineRule="exact"/>
              <w:ind w:firstLine="480"/>
              <w:rPr>
                <w:rFonts w:ascii="仿宋" w:hAnsi="仿宋" w:cs="仿宋"/>
              </w:rPr>
            </w:pPr>
            <w:r>
              <w:rPr>
                <w:rFonts w:hint="eastAsia" w:ascii="仿宋" w:hAnsi="仿宋" w:cs="仿宋"/>
              </w:rPr>
              <w:t xml:space="preserve">               （不可粘贴）</w:t>
            </w:r>
          </w:p>
          <w:p>
            <w:pPr>
              <w:spacing w:line="500" w:lineRule="exact"/>
              <w:ind w:firstLine="480"/>
              <w:rPr>
                <w:rFonts w:ascii="仿宋" w:hAnsi="仿宋" w:cs="仿宋"/>
              </w:rPr>
            </w:pPr>
            <w:r>
              <w:rPr>
                <w:rFonts w:ascii="仿宋" w:hAnsi="仿宋" w:cs="仿宋"/>
              </w:rPr>
              <mc:AlternateContent>
                <mc:Choice Requires="wps">
                  <w:drawing>
                    <wp:anchor distT="0" distB="0" distL="114300" distR="114300" simplePos="0" relativeHeight="251664384" behindDoc="0" locked="0" layoutInCell="1" allowOverlap="1">
                      <wp:simplePos x="0" y="0"/>
                      <wp:positionH relativeFrom="column">
                        <wp:posOffset>2697480</wp:posOffset>
                      </wp:positionH>
                      <wp:positionV relativeFrom="paragraph">
                        <wp:posOffset>325755</wp:posOffset>
                      </wp:positionV>
                      <wp:extent cx="628650" cy="304800"/>
                      <wp:effectExtent l="4445" t="4445" r="14605" b="14605"/>
                      <wp:wrapNone/>
                      <wp:docPr id="14" name="文本框 14"/>
                      <wp:cNvGraphicFramePr/>
                      <a:graphic xmlns:a="http://schemas.openxmlformats.org/drawingml/2006/main">
                        <a:graphicData uri="http://schemas.microsoft.com/office/word/2010/wordprocessingShape">
                          <wps:wsp>
                            <wps:cNvSpPr txBox="1"/>
                            <wps:spPr>
                              <a:xfrm>
                                <a:off x="0" y="0"/>
                                <a:ext cx="628650" cy="30480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ind w:firstLine="480"/>
                                    <w:jc w:val="center"/>
                                  </w:pPr>
                                  <w:r>
                                    <w:rPr>
                                      <w:rFonts w:hint="eastAsia"/>
                                    </w:rPr>
                                    <w:t>公章</w:t>
                                  </w:r>
                                </w:p>
                              </w:txbxContent>
                            </wps:txbx>
                            <wps:bodyPr upright="1"/>
                          </wps:wsp>
                        </a:graphicData>
                      </a:graphic>
                    </wp:anchor>
                  </w:drawing>
                </mc:Choice>
                <mc:Fallback>
                  <w:pict>
                    <v:shape id="_x0000_s1026" o:spid="_x0000_s1026" o:spt="202" type="#_x0000_t202" style="position:absolute;left:0pt;margin-left:212.4pt;margin-top:25.65pt;height:24pt;width:49.5pt;z-index:251664384;mso-width-relative:page;mso-height-relative:page;" fillcolor="#FFFFFF" filled="t" stroked="t" coordsize="21600,21600" o:gfxdata="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ebpivYAAAACQEAAA8AAAAAAAAAAQAg&#10;AAAAIgAAAGRycy9kb3ducmV2LnhtbFBLAQIUABQAAAAIAIdO4kA/leNeDgIAAEUEAAAOAAAAAAAA&#10;AAEAIAAAACcBAABkcnMvZTJvRG9jLnhtbFBLBQYAAAAABgAGAFkBAACnBQAAAAA=&#10;">
                      <v:fill on="t" focussize="0,0"/>
                      <v:stroke color="#FFFFFF" joinstyle="miter"/>
                      <v:imagedata o:title=""/>
                      <o:lock v:ext="edit" aspectratio="f"/>
                      <v:textbox>
                        <w:txbxContent>
                          <w:p>
                            <w:pPr>
                              <w:ind w:firstLine="480"/>
                              <w:jc w:val="center"/>
                            </w:pPr>
                            <w:r>
                              <w:rPr>
                                <w:rFonts w:hint="eastAsia"/>
                              </w:rPr>
                              <w:t>公章</w:t>
                            </w:r>
                          </w:p>
                        </w:txbxContent>
                      </v:textbox>
                    </v:shape>
                  </w:pict>
                </mc:Fallback>
              </mc:AlternateContent>
            </w:r>
          </w:p>
        </w:tc>
        <w:tc>
          <w:tcPr>
            <w:tcW w:w="4860" w:type="dxa"/>
          </w:tcPr>
          <w:p>
            <w:pPr>
              <w:spacing w:line="500" w:lineRule="exact"/>
              <w:ind w:firstLine="480"/>
              <w:rPr>
                <w:rFonts w:ascii="仿宋" w:hAnsi="仿宋" w:cs="仿宋"/>
              </w:rPr>
            </w:pPr>
          </w:p>
          <w:p>
            <w:pPr>
              <w:spacing w:line="500" w:lineRule="exact"/>
              <w:ind w:firstLine="480"/>
              <w:rPr>
                <w:rFonts w:ascii="仿宋" w:hAnsi="仿宋" w:cs="仿宋"/>
              </w:rPr>
            </w:pPr>
          </w:p>
          <w:p>
            <w:pPr>
              <w:tabs>
                <w:tab w:val="left" w:pos="4581"/>
              </w:tabs>
              <w:spacing w:line="500" w:lineRule="exact"/>
              <w:ind w:firstLine="480"/>
              <w:jc w:val="center"/>
              <w:rPr>
                <w:rFonts w:ascii="仿宋" w:hAnsi="仿宋" w:cs="仿宋"/>
              </w:rPr>
            </w:pPr>
            <w:r>
              <w:rPr>
                <w:rFonts w:ascii="仿宋" w:hAnsi="仿宋" w:cs="仿宋"/>
              </w:rPr>
              <mc:AlternateContent>
                <mc:Choice Requires="wps">
                  <w:drawing>
                    <wp:anchor distT="0" distB="0" distL="114300" distR="114300" simplePos="0" relativeHeight="251663360" behindDoc="0" locked="0" layoutInCell="1" allowOverlap="1">
                      <wp:simplePos x="0" y="0"/>
                      <wp:positionH relativeFrom="column">
                        <wp:posOffset>-801370</wp:posOffset>
                      </wp:positionH>
                      <wp:positionV relativeFrom="paragraph">
                        <wp:posOffset>372110</wp:posOffset>
                      </wp:positionV>
                      <wp:extent cx="1362075" cy="1504950"/>
                      <wp:effectExtent l="4445" t="4445" r="5080" b="14605"/>
                      <wp:wrapNone/>
                      <wp:docPr id="15" name="椭圆 15"/>
                      <wp:cNvGraphicFramePr/>
                      <a:graphic xmlns:a="http://schemas.openxmlformats.org/drawingml/2006/main">
                        <a:graphicData uri="http://schemas.microsoft.com/office/word/2010/wordprocessingShape">
                          <wps:wsp>
                            <wps:cNvSpPr/>
                            <wps:spPr>
                              <a:xfrm>
                                <a:off x="0" y="0"/>
                                <a:ext cx="1362075" cy="150495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ind w:firstLine="480"/>
                                    <w:jc w:val="center"/>
                                  </w:pPr>
                                </w:p>
                              </w:txbxContent>
                            </wps:txbx>
                            <wps:bodyPr wrap="square" upright="1">
                              <a:noAutofit/>
                            </wps:bodyPr>
                          </wps:wsp>
                        </a:graphicData>
                      </a:graphic>
                    </wp:anchor>
                  </w:drawing>
                </mc:Choice>
                <mc:Fallback>
                  <w:pict>
                    <v:shape id="_x0000_s1026" o:spid="_x0000_s1026" o:spt="3" type="#_x0000_t3" style="position:absolute;left:0pt;margin-left:-63.1pt;margin-top:29.3pt;height:118.5pt;width:107.25pt;z-index:251663360;mso-width-relative:page;mso-height-relative:page;" fillcolor="#FFFFFF" filled="t" stroked="t" coordsize="21600,21600" o:gfxdata="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jHu3NkAAAAK&#10;AQAADwAAAAAAAAABACAAAAAiAAAAZHJzL2Rvd25yZXYueG1sUEsBAhQAFAAAAAgAh07iQB+iCJIb&#10;AgAAWwQAAA4AAAAAAAAAAQAgAAAAKAEAAGRycy9lMm9Eb2MueG1sUEsFBgAAAAAGAAYAWQEAALUF&#10;AAAAAA==&#10;">
                      <v:fill on="t" focussize="0,0"/>
                      <v:stroke color="#000000" joinstyle="round"/>
                      <v:imagedata o:title=""/>
                      <o:lock v:ext="edit" aspectratio="f"/>
                      <v:textbox>
                        <w:txbxContent>
                          <w:p>
                            <w:pPr>
                              <w:ind w:firstLine="480"/>
                              <w:jc w:val="center"/>
                            </w:pPr>
                          </w:p>
                        </w:txbxContent>
                      </v:textbox>
                    </v:shape>
                  </w:pict>
                </mc:Fallback>
              </mc:AlternateContent>
            </w:r>
            <w:r>
              <w:rPr>
                <w:rFonts w:hint="eastAsia" w:ascii="仿宋" w:hAnsi="仿宋" w:cs="仿宋"/>
              </w:rPr>
              <w:t>（附授权代理人身份证明正面复印件）</w:t>
            </w:r>
          </w:p>
          <w:p>
            <w:pPr>
              <w:spacing w:line="500" w:lineRule="exact"/>
              <w:ind w:firstLine="480"/>
              <w:jc w:val="center"/>
              <w:rPr>
                <w:rFonts w:ascii="仿宋" w:hAnsi="仿宋" w:cs="仿宋"/>
              </w:rPr>
            </w:pPr>
            <w:r>
              <w:rPr>
                <w:rFonts w:hint="eastAsia" w:ascii="仿宋" w:hAnsi="仿宋" w:cs="仿宋"/>
              </w:rPr>
              <w:t>（不可粘贴）</w:t>
            </w:r>
          </w:p>
          <w:p>
            <w:pPr>
              <w:spacing w:line="500" w:lineRule="exact"/>
              <w:ind w:firstLine="48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4860" w:type="dxa"/>
          </w:tcPr>
          <w:p>
            <w:pPr>
              <w:tabs>
                <w:tab w:val="left" w:pos="4581"/>
              </w:tabs>
              <w:spacing w:line="500" w:lineRule="exact"/>
              <w:ind w:firstLine="480"/>
              <w:jc w:val="center"/>
              <w:rPr>
                <w:rFonts w:ascii="仿宋" w:hAnsi="仿宋" w:cs="仿宋"/>
              </w:rPr>
            </w:pPr>
          </w:p>
          <w:p>
            <w:pPr>
              <w:tabs>
                <w:tab w:val="left" w:pos="4581"/>
              </w:tabs>
              <w:spacing w:line="500" w:lineRule="exact"/>
              <w:ind w:firstLine="480"/>
              <w:jc w:val="center"/>
              <w:rPr>
                <w:rFonts w:ascii="仿宋" w:hAnsi="仿宋" w:cs="仿宋"/>
              </w:rPr>
            </w:pPr>
            <w:r>
              <w:rPr>
                <w:rFonts w:hint="eastAsia" w:ascii="仿宋" w:hAnsi="仿宋" w:cs="仿宋"/>
              </w:rPr>
              <w:t>（附法人代表身份证明反面复印件）</w:t>
            </w:r>
          </w:p>
          <w:p>
            <w:pPr>
              <w:spacing w:line="500" w:lineRule="exact"/>
              <w:ind w:firstLine="480"/>
              <w:rPr>
                <w:rFonts w:ascii="仿宋" w:hAnsi="仿宋" w:cs="仿宋"/>
              </w:rPr>
            </w:pPr>
            <w:r>
              <w:rPr>
                <w:rFonts w:hint="eastAsia" w:ascii="仿宋" w:hAnsi="仿宋" w:cs="仿宋"/>
              </w:rPr>
              <w:t xml:space="preserve">               （不可粘贴）</w:t>
            </w:r>
          </w:p>
          <w:p>
            <w:pPr>
              <w:spacing w:line="500" w:lineRule="exact"/>
              <w:ind w:firstLine="480"/>
              <w:rPr>
                <w:rFonts w:ascii="仿宋" w:hAnsi="仿宋" w:cs="仿宋"/>
              </w:rPr>
            </w:pPr>
          </w:p>
        </w:tc>
        <w:tc>
          <w:tcPr>
            <w:tcW w:w="4860" w:type="dxa"/>
          </w:tcPr>
          <w:p>
            <w:pPr>
              <w:tabs>
                <w:tab w:val="left" w:pos="4581"/>
              </w:tabs>
              <w:spacing w:line="500" w:lineRule="exact"/>
              <w:ind w:firstLine="480"/>
              <w:jc w:val="center"/>
              <w:rPr>
                <w:rFonts w:ascii="仿宋" w:hAnsi="仿宋" w:cs="仿宋"/>
              </w:rPr>
            </w:pPr>
          </w:p>
          <w:p>
            <w:pPr>
              <w:tabs>
                <w:tab w:val="left" w:pos="4581"/>
              </w:tabs>
              <w:spacing w:line="500" w:lineRule="exact"/>
              <w:ind w:firstLine="480"/>
              <w:jc w:val="center"/>
              <w:rPr>
                <w:rFonts w:ascii="仿宋" w:hAnsi="仿宋" w:cs="仿宋"/>
              </w:rPr>
            </w:pPr>
            <w:r>
              <w:rPr>
                <w:rFonts w:hint="eastAsia" w:ascii="仿宋" w:hAnsi="仿宋" w:cs="仿宋"/>
              </w:rPr>
              <w:t>附授权代理人身份证明反面复印件）</w:t>
            </w:r>
          </w:p>
          <w:p>
            <w:pPr>
              <w:spacing w:line="500" w:lineRule="exact"/>
              <w:ind w:firstLine="480"/>
              <w:jc w:val="center"/>
              <w:rPr>
                <w:rFonts w:ascii="仿宋" w:hAnsi="仿宋" w:cs="仿宋"/>
              </w:rPr>
            </w:pPr>
            <w:r>
              <w:rPr>
                <w:rFonts w:hint="eastAsia" w:ascii="仿宋" w:hAnsi="仿宋" w:cs="仿宋"/>
              </w:rPr>
              <w:t>（不可粘贴）</w:t>
            </w:r>
          </w:p>
          <w:p>
            <w:pPr>
              <w:spacing w:line="500" w:lineRule="exact"/>
              <w:ind w:firstLine="480"/>
              <w:rPr>
                <w:rFonts w:ascii="仿宋" w:hAnsi="仿宋" w:cs="仿宋"/>
              </w:rPr>
            </w:pPr>
          </w:p>
        </w:tc>
      </w:tr>
    </w:tbl>
    <w:p>
      <w:pPr>
        <w:spacing w:line="500" w:lineRule="exact"/>
        <w:ind w:firstLine="480"/>
        <w:rPr>
          <w:rFonts w:ascii="仿宋" w:hAnsi="仿宋" w:cs="仿宋"/>
        </w:rPr>
      </w:pPr>
    </w:p>
    <w:p>
      <w:pPr>
        <w:spacing w:line="500" w:lineRule="exact"/>
        <w:ind w:firstLine="480"/>
        <w:rPr>
          <w:rFonts w:ascii="仿宋" w:hAnsi="仿宋" w:cs="仿宋"/>
        </w:rPr>
      </w:pPr>
      <w:r>
        <w:rPr>
          <w:rFonts w:hint="eastAsia" w:ascii="仿宋" w:hAnsi="仿宋" w:cs="仿宋"/>
        </w:rPr>
        <w:t xml:space="preserve">投标人名称（盖章）： </w:t>
      </w:r>
    </w:p>
    <w:p>
      <w:pPr>
        <w:spacing w:line="500" w:lineRule="exact"/>
        <w:ind w:firstLine="480"/>
        <w:rPr>
          <w:rFonts w:ascii="仿宋" w:hAnsi="仿宋" w:cs="仿宋"/>
        </w:rPr>
      </w:pPr>
    </w:p>
    <w:p>
      <w:pPr>
        <w:spacing w:line="500" w:lineRule="exact"/>
        <w:ind w:firstLine="480"/>
        <w:rPr>
          <w:rFonts w:ascii="仿宋" w:hAnsi="仿宋" w:cs="仿宋"/>
        </w:rPr>
      </w:pPr>
      <w:r>
        <w:rPr>
          <w:rFonts w:hint="eastAsia" w:ascii="仿宋" w:hAnsi="仿宋" w:cs="仿宋"/>
        </w:rPr>
        <w:t>法定代表人：（签字或盖章）</w:t>
      </w:r>
    </w:p>
    <w:p>
      <w:pPr>
        <w:pStyle w:val="7"/>
        <w:spacing w:before="0" w:line="500" w:lineRule="exact"/>
        <w:ind w:firstLine="480"/>
        <w:rPr>
          <w:rFonts w:ascii="仿宋" w:hAnsi="仿宋" w:cs="仿宋"/>
          <w:szCs w:val="24"/>
        </w:rPr>
      </w:pPr>
    </w:p>
    <w:p>
      <w:pPr>
        <w:spacing w:line="500" w:lineRule="exact"/>
        <w:ind w:firstLine="480"/>
        <w:rPr>
          <w:rFonts w:ascii="仿宋" w:hAnsi="仿宋" w:cs="仿宋"/>
        </w:rPr>
      </w:pPr>
      <w:r>
        <w:rPr>
          <w:rFonts w:hint="eastAsia" w:ascii="仿宋" w:hAnsi="仿宋" w:cs="仿宋"/>
        </w:rPr>
        <w:t>授权代理人：（签字）</w:t>
      </w:r>
    </w:p>
    <w:p>
      <w:pPr>
        <w:spacing w:line="500" w:lineRule="exact"/>
        <w:ind w:firstLine="480"/>
        <w:rPr>
          <w:rFonts w:ascii="仿宋" w:hAnsi="仿宋" w:cs="仿宋"/>
        </w:rPr>
        <w:sectPr>
          <w:pgSz w:w="11906" w:h="16838"/>
          <w:pgMar w:top="1304" w:right="1304" w:bottom="1304" w:left="1304" w:header="851" w:footer="992" w:gutter="0"/>
          <w:cols w:space="720" w:num="1"/>
          <w:docGrid w:type="lines" w:linePitch="321" w:charSpace="0"/>
        </w:sectPr>
      </w:pPr>
      <w:r>
        <w:rPr>
          <w:rFonts w:hint="eastAsia" w:ascii="仿宋" w:hAnsi="仿宋" w:cs="仿宋"/>
        </w:rPr>
        <w:t xml:space="preserve">                                                          年    月     日</w:t>
      </w:r>
    </w:p>
    <w:p>
      <w:pPr>
        <w:spacing w:line="500" w:lineRule="exact"/>
        <w:ind w:firstLine="0" w:firstLineChars="0"/>
        <w:jc w:val="center"/>
        <w:rPr>
          <w:rFonts w:ascii="仿宋" w:hAnsi="仿宋" w:cs="仿宋"/>
          <w:b/>
          <w:bCs/>
          <w:sz w:val="30"/>
          <w:szCs w:val="30"/>
        </w:rPr>
      </w:pPr>
      <w:r>
        <w:rPr>
          <w:rFonts w:hint="eastAsia" w:ascii="仿宋" w:hAnsi="仿宋" w:cs="仿宋"/>
          <w:b/>
          <w:bCs/>
          <w:sz w:val="30"/>
          <w:szCs w:val="30"/>
        </w:rPr>
        <w:t>四、资格审查材料</w:t>
      </w:r>
    </w:p>
    <w:p>
      <w:pPr>
        <w:spacing w:line="500" w:lineRule="exact"/>
        <w:ind w:firstLine="0" w:firstLineChars="0"/>
        <w:jc w:val="center"/>
        <w:rPr>
          <w:rFonts w:ascii="仿宋" w:hAnsi="仿宋" w:cs="仿宋"/>
          <w:b/>
          <w:bCs/>
          <w:sz w:val="30"/>
          <w:szCs w:val="30"/>
        </w:rPr>
      </w:pPr>
      <w:r>
        <w:rPr>
          <w:rFonts w:hint="eastAsia" w:ascii="仿宋" w:hAnsi="仿宋" w:cs="仿宋"/>
          <w:b/>
          <w:bCs/>
          <w:sz w:val="30"/>
          <w:szCs w:val="30"/>
        </w:rPr>
        <w:t>（一）营业执照</w:t>
      </w:r>
    </w:p>
    <w:p>
      <w:pPr>
        <w:pStyle w:val="2"/>
        <w:ind w:firstLine="602"/>
        <w:rPr>
          <w:rFonts w:ascii="仿宋" w:hAnsi="仿宋" w:cs="仿宋"/>
          <w:kern w:val="2"/>
          <w:sz w:val="30"/>
          <w:szCs w:val="30"/>
        </w:rPr>
        <w:sectPr>
          <w:pgSz w:w="11906" w:h="16838"/>
          <w:pgMar w:top="1304" w:right="1304" w:bottom="1304" w:left="1304" w:header="851" w:footer="992" w:gutter="0"/>
          <w:cols w:space="720" w:num="1"/>
          <w:docGrid w:type="lines" w:linePitch="321" w:charSpace="0"/>
        </w:sectPr>
      </w:pPr>
    </w:p>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仿宋" w:hAnsi="仿宋" w:eastAsia="仿宋" w:cs="仿宋"/>
          <w:b/>
          <w:kern w:val="2"/>
          <w:sz w:val="28"/>
          <w:szCs w:val="28"/>
          <w:lang w:val="en-US"/>
        </w:rPr>
      </w:pPr>
      <w:r>
        <w:rPr>
          <w:rFonts w:hint="eastAsia" w:ascii="仿宋" w:hAnsi="仿宋" w:eastAsia="仿宋" w:cs="仿宋"/>
          <w:b/>
          <w:bCs/>
          <w:kern w:val="2"/>
          <w:sz w:val="30"/>
          <w:szCs w:val="30"/>
          <w:lang w:val="en-US"/>
        </w:rPr>
        <w:t>（二）</w:t>
      </w:r>
      <w:r>
        <w:rPr>
          <w:rFonts w:hint="eastAsia" w:ascii="仿宋" w:hAnsi="仿宋" w:eastAsia="仿宋" w:cs="仿宋"/>
          <w:b/>
          <w:kern w:val="2"/>
          <w:sz w:val="28"/>
          <w:szCs w:val="28"/>
          <w:lang w:val="en-US"/>
        </w:rPr>
        <w:t>具有履行合同所必须的设备和专业技术能力的声明</w:t>
      </w:r>
    </w:p>
    <w:p>
      <w:pPr>
        <w:ind w:firstLine="480"/>
      </w:pPr>
      <w:r>
        <w:rPr>
          <w:rFonts w:hint="eastAsia"/>
        </w:rPr>
        <w:t xml:space="preserve">我公司具备履行本次投标项目合同所必须的设备和专业技术能力。 </w:t>
      </w:r>
    </w:p>
    <w:p>
      <w:pPr>
        <w:ind w:firstLine="480"/>
      </w:pPr>
      <w:r>
        <w:rPr>
          <w:rFonts w:hint="eastAsia"/>
        </w:rPr>
        <w:t xml:space="preserve">特此声明。 </w:t>
      </w:r>
    </w:p>
    <w:p>
      <w:pPr>
        <w:ind w:firstLine="480"/>
      </w:pPr>
      <w:r>
        <w:rPr>
          <w:rFonts w:hint="eastAsia"/>
        </w:rPr>
        <w:t xml:space="preserve">供应商名称：（加盖公章） </w:t>
      </w:r>
    </w:p>
    <w:p>
      <w:pPr>
        <w:ind w:firstLine="480"/>
      </w:pPr>
      <w:r>
        <w:rPr>
          <w:rFonts w:hint="eastAsia"/>
        </w:rPr>
        <w:t>年 月 日</w:t>
      </w:r>
    </w:p>
    <w:p>
      <w:pPr>
        <w:ind w:firstLine="480"/>
        <w:sectPr>
          <w:pgSz w:w="11906" w:h="16838"/>
          <w:pgMar w:top="1304" w:right="1304" w:bottom="1304" w:left="1304" w:header="851" w:footer="992" w:gutter="0"/>
          <w:cols w:space="720" w:num="1"/>
          <w:docGrid w:type="lines" w:linePitch="321" w:charSpace="0"/>
        </w:sectPr>
      </w:pPr>
    </w:p>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 w:hAnsi="仿宋" w:eastAsia="仿宋" w:cs="仿宋"/>
          <w:b/>
          <w:kern w:val="2"/>
          <w:sz w:val="28"/>
          <w:szCs w:val="28"/>
          <w:lang w:val="en-US"/>
        </w:rPr>
      </w:pPr>
      <w:r>
        <w:rPr>
          <w:rFonts w:hint="eastAsia" w:ascii="仿宋" w:hAnsi="仿宋" w:eastAsia="仿宋" w:cs="仿宋"/>
          <w:b/>
          <w:bCs/>
          <w:kern w:val="2"/>
          <w:sz w:val="30"/>
          <w:szCs w:val="30"/>
          <w:lang w:val="en-US"/>
        </w:rPr>
        <w:t>（三）</w:t>
      </w:r>
      <w:r>
        <w:rPr>
          <w:rFonts w:hint="eastAsia" w:ascii="仿宋" w:hAnsi="仿宋" w:eastAsia="仿宋" w:cs="仿宋"/>
          <w:b/>
          <w:kern w:val="2"/>
          <w:sz w:val="28"/>
          <w:szCs w:val="28"/>
          <w:lang w:val="en-US"/>
        </w:rPr>
        <w:t>投标人为未被列入“信用中国”网站(www.creditchina.gov.cn)信用失信被执行人、重大税收违法失信主体。</w:t>
      </w:r>
    </w:p>
    <w:p>
      <w:pPr>
        <w:ind w:firstLine="480"/>
        <w:rPr>
          <w:rFonts w:ascii="仿宋" w:hAnsi="仿宋" w:cs="仿宋"/>
        </w:rPr>
      </w:pPr>
    </w:p>
    <w:p>
      <w:pPr>
        <w:pStyle w:val="15"/>
        <w:ind w:left="480" w:firstLine="480"/>
        <w:rPr>
          <w:rFonts w:ascii="仿宋" w:hAnsi="仿宋" w:cs="仿宋"/>
        </w:rPr>
      </w:pPr>
    </w:p>
    <w:p>
      <w:pPr>
        <w:jc w:val="center"/>
        <w:outlineLvl w:val="1"/>
        <w:rPr>
          <w:rFonts w:ascii="仿宋" w:hAnsi="仿宋" w:cs="仿宋"/>
          <w:b/>
          <w:bCs/>
          <w:sz w:val="32"/>
          <w:szCs w:val="32"/>
        </w:rPr>
        <w:sectPr>
          <w:pgSz w:w="11906" w:h="16838"/>
          <w:pgMar w:top="1304" w:right="1304" w:bottom="1304" w:left="1304" w:header="851" w:footer="992" w:gutter="0"/>
          <w:cols w:space="720" w:num="1"/>
          <w:docGrid w:type="lines" w:linePitch="321" w:charSpace="0"/>
        </w:sectPr>
      </w:pPr>
    </w:p>
    <w:p>
      <w:pPr>
        <w:spacing w:line="500" w:lineRule="exact"/>
        <w:ind w:firstLine="0" w:firstLineChars="0"/>
        <w:jc w:val="center"/>
        <w:rPr>
          <w:rFonts w:ascii="仿宋" w:hAnsi="仿宋" w:cs="仿宋"/>
        </w:rPr>
      </w:pPr>
      <w:r>
        <w:rPr>
          <w:rFonts w:hint="eastAsia" w:ascii="仿宋" w:hAnsi="仿宋" w:cs="仿宋"/>
          <w:b/>
          <w:bCs/>
          <w:sz w:val="32"/>
          <w:szCs w:val="32"/>
        </w:rPr>
        <w:t>五、投标报价</w:t>
      </w:r>
    </w:p>
    <w:p>
      <w:pPr>
        <w:spacing w:line="500" w:lineRule="exact"/>
        <w:ind w:firstLine="480"/>
        <w:rPr>
          <w:rFonts w:ascii="仿宋" w:hAnsi="仿宋" w:cs="仿宋"/>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207"/>
        <w:gridCol w:w="242"/>
        <w:gridCol w:w="996"/>
        <w:gridCol w:w="1669"/>
        <w:gridCol w:w="123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320" w:type="dxa"/>
            <w:gridSpan w:val="7"/>
            <w:vAlign w:val="center"/>
          </w:tcPr>
          <w:p>
            <w:pPr>
              <w:ind w:firstLine="0" w:firstLineChars="0"/>
              <w:rPr>
                <w:rFonts w:ascii="仿宋" w:hAnsi="仿宋" w:cs="仿宋"/>
                <w:b/>
                <w:bCs/>
              </w:rPr>
            </w:pPr>
            <w:r>
              <w:rPr>
                <w:rFonts w:hint="eastAsia" w:ascii="仿宋" w:hAnsi="仿宋" w:cs="仿宋"/>
                <w:b/>
                <w:bCs/>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9320" w:type="dxa"/>
            <w:gridSpan w:val="7"/>
            <w:vAlign w:val="center"/>
          </w:tcPr>
          <w:p>
            <w:pPr>
              <w:ind w:firstLine="0" w:firstLineChars="0"/>
              <w:rPr>
                <w:rFonts w:ascii="仿宋" w:hAnsi="仿宋" w:cs="仿宋"/>
                <w:b/>
                <w:bCs/>
              </w:rPr>
            </w:pPr>
            <w:r>
              <w:rPr>
                <w:rFonts w:hint="eastAsia" w:ascii="仿宋" w:hAnsi="仿宋" w:cs="仿宋"/>
                <w:b/>
                <w:bCs/>
              </w:rPr>
              <w:t xml:space="preserve">工程名称：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580" w:type="dxa"/>
            <w:vMerge w:val="restart"/>
            <w:vAlign w:val="center"/>
          </w:tcPr>
          <w:p>
            <w:pPr>
              <w:ind w:firstLine="0" w:firstLineChars="0"/>
              <w:rPr>
                <w:rFonts w:ascii="仿宋" w:hAnsi="仿宋" w:cs="仿宋"/>
                <w:b/>
                <w:bCs/>
              </w:rPr>
            </w:pPr>
            <w:r>
              <w:rPr>
                <w:rFonts w:hint="eastAsia" w:ascii="仿宋" w:hAnsi="仿宋" w:cs="仿宋"/>
                <w:b/>
                <w:bCs/>
              </w:rPr>
              <w:t>投标报价</w:t>
            </w:r>
          </w:p>
        </w:tc>
        <w:tc>
          <w:tcPr>
            <w:tcW w:w="2449" w:type="dxa"/>
            <w:gridSpan w:val="2"/>
            <w:vAlign w:val="center"/>
          </w:tcPr>
          <w:p>
            <w:pPr>
              <w:spacing w:line="540" w:lineRule="exact"/>
              <w:ind w:firstLine="0" w:firstLineChars="0"/>
              <w:jc w:val="center"/>
              <w:rPr>
                <w:rFonts w:ascii="仿宋" w:hAnsi="仿宋" w:cs="仿宋"/>
                <w:b/>
                <w:bCs/>
                <w:sz w:val="28"/>
                <w:szCs w:val="28"/>
              </w:rPr>
            </w:pPr>
            <w:r>
              <w:rPr>
                <w:rFonts w:hint="eastAsia" w:ascii="仿宋" w:hAnsi="仿宋" w:cs="仿宋"/>
                <w:b/>
                <w:bCs/>
                <w:szCs w:val="24"/>
              </w:rPr>
              <w:t>孔深(m)</w:t>
            </w:r>
          </w:p>
        </w:tc>
        <w:tc>
          <w:tcPr>
            <w:tcW w:w="5291" w:type="dxa"/>
            <w:gridSpan w:val="4"/>
            <w:vAlign w:val="center"/>
          </w:tcPr>
          <w:p>
            <w:pPr>
              <w:spacing w:line="540" w:lineRule="exact"/>
              <w:ind w:firstLine="0" w:firstLineChars="0"/>
              <w:jc w:val="center"/>
              <w:rPr>
                <w:rFonts w:ascii="仿宋" w:hAnsi="仿宋" w:cs="仿宋"/>
                <w:b/>
                <w:bCs/>
                <w:sz w:val="28"/>
                <w:szCs w:val="28"/>
              </w:rPr>
            </w:pPr>
            <w:r>
              <w:rPr>
                <w:rFonts w:hint="eastAsia" w:ascii="仿宋" w:hAnsi="仿宋" w:cs="仿宋"/>
                <w:b/>
                <w:bCs/>
                <w:szCs w:val="24"/>
              </w:rPr>
              <w:t>全费用综合单价(元/m)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580" w:type="dxa"/>
            <w:vMerge w:val="continue"/>
            <w:vAlign w:val="center"/>
          </w:tcPr>
          <w:p>
            <w:pPr>
              <w:ind w:firstLine="0" w:firstLineChars="0"/>
              <w:rPr>
                <w:rFonts w:ascii="仿宋" w:hAnsi="仿宋" w:cs="仿宋"/>
              </w:rPr>
            </w:pPr>
          </w:p>
        </w:tc>
        <w:tc>
          <w:tcPr>
            <w:tcW w:w="2449" w:type="dxa"/>
            <w:gridSpan w:val="2"/>
            <w:vAlign w:val="center"/>
          </w:tcPr>
          <w:p>
            <w:pPr>
              <w:spacing w:line="540" w:lineRule="exact"/>
              <w:ind w:firstLine="0" w:firstLineChars="0"/>
              <w:jc w:val="center"/>
              <w:rPr>
                <w:rFonts w:ascii="仿宋" w:hAnsi="仿宋" w:cs="仿宋"/>
                <w:b/>
                <w:bCs/>
              </w:rPr>
            </w:pPr>
            <w:r>
              <w:rPr>
                <w:rFonts w:hint="eastAsia" w:ascii="仿宋" w:hAnsi="仿宋" w:cs="仿宋"/>
                <w:b/>
                <w:bCs/>
                <w:szCs w:val="24"/>
              </w:rPr>
              <w:t>0-200</w:t>
            </w:r>
          </w:p>
        </w:tc>
        <w:tc>
          <w:tcPr>
            <w:tcW w:w="5291" w:type="dxa"/>
            <w:gridSpan w:val="4"/>
            <w:vAlign w:val="center"/>
          </w:tcPr>
          <w:p>
            <w:pPr>
              <w:spacing w:line="540" w:lineRule="exact"/>
              <w:ind w:firstLine="0" w:firstLineChars="0"/>
              <w:jc w:val="center"/>
              <w:rPr>
                <w:rFonts w:ascii="仿宋" w:hAnsi="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jc w:val="center"/>
        </w:trPr>
        <w:tc>
          <w:tcPr>
            <w:tcW w:w="1580" w:type="dxa"/>
            <w:vAlign w:val="center"/>
          </w:tcPr>
          <w:p>
            <w:pPr>
              <w:ind w:firstLine="0" w:firstLineChars="0"/>
              <w:jc w:val="center"/>
              <w:rPr>
                <w:rFonts w:ascii="仿宋" w:hAnsi="仿宋" w:cs="仿宋"/>
                <w:b/>
                <w:bCs/>
              </w:rPr>
            </w:pPr>
            <w:r>
              <w:rPr>
                <w:rFonts w:hint="eastAsia" w:ascii="仿宋" w:hAnsi="仿宋" w:cs="仿宋"/>
                <w:b/>
                <w:bCs/>
              </w:rPr>
              <w:t>工期要求</w:t>
            </w:r>
          </w:p>
        </w:tc>
        <w:tc>
          <w:tcPr>
            <w:tcW w:w="7740" w:type="dxa"/>
            <w:gridSpan w:val="6"/>
            <w:vAlign w:val="center"/>
          </w:tcPr>
          <w:p>
            <w:pPr>
              <w:ind w:firstLine="0" w:firstLineChars="0"/>
              <w:rPr>
                <w:rFonts w:ascii="仿宋" w:hAnsi="仿宋" w:cs="仿宋"/>
                <w:b/>
                <w:bCs/>
              </w:rPr>
            </w:pPr>
            <w:r>
              <w:rPr>
                <w:rFonts w:hint="eastAsia" w:ascii="仿宋" w:hAnsi="仿宋" w:cs="仿宋"/>
                <w:b/>
                <w:bCs/>
              </w:rPr>
              <w:t>竣工时间：2023年</w:t>
            </w:r>
            <w:r>
              <w:rPr>
                <w:rFonts w:ascii="仿宋" w:hAnsi="仿宋" w:cs="仿宋"/>
                <w:b/>
                <w:bCs/>
              </w:rPr>
              <w:t>9</w:t>
            </w:r>
            <w:r>
              <w:rPr>
                <w:rFonts w:hint="eastAsia" w:ascii="仿宋" w:hAnsi="仿宋" w:cs="仿宋"/>
                <w:b/>
                <w:bCs/>
              </w:rPr>
              <w:t>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580" w:type="dxa"/>
            <w:vAlign w:val="center"/>
          </w:tcPr>
          <w:p>
            <w:pPr>
              <w:ind w:firstLine="0" w:firstLineChars="0"/>
              <w:jc w:val="center"/>
              <w:rPr>
                <w:rFonts w:ascii="仿宋" w:hAnsi="仿宋" w:cs="仿宋"/>
                <w:b/>
                <w:bCs/>
              </w:rPr>
            </w:pPr>
            <w:r>
              <w:rPr>
                <w:rFonts w:hint="eastAsia" w:ascii="仿宋" w:hAnsi="仿宋" w:cs="仿宋"/>
                <w:b/>
                <w:bCs/>
              </w:rPr>
              <w:t>质量要求</w:t>
            </w:r>
          </w:p>
        </w:tc>
        <w:tc>
          <w:tcPr>
            <w:tcW w:w="7740" w:type="dxa"/>
            <w:gridSpan w:val="6"/>
            <w:vAlign w:val="center"/>
          </w:tcPr>
          <w:p>
            <w:pPr>
              <w:ind w:firstLine="0" w:firstLineChars="0"/>
              <w:rPr>
                <w:rFonts w:ascii="仿宋" w:hAnsi="仿宋" w:cs="仿宋"/>
                <w:b/>
                <w:bCs/>
              </w:rPr>
            </w:pPr>
            <w:r>
              <w:rPr>
                <w:rFonts w:hint="eastAsia" w:ascii="仿宋" w:hAnsi="仿宋" w:cs="仿宋"/>
                <w:b/>
                <w:bCs/>
                <w:szCs w:val="24"/>
              </w:rPr>
              <w:t>符合国家相关地质钻探质量要求。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580" w:type="dxa"/>
            <w:vAlign w:val="center"/>
          </w:tcPr>
          <w:p>
            <w:pPr>
              <w:ind w:firstLine="0" w:firstLineChars="0"/>
              <w:jc w:val="center"/>
              <w:rPr>
                <w:rFonts w:ascii="仿宋" w:hAnsi="仿宋" w:cs="仿宋"/>
                <w:b/>
                <w:bCs/>
              </w:rPr>
            </w:pPr>
            <w:r>
              <w:rPr>
                <w:rFonts w:hint="eastAsia" w:ascii="仿宋" w:hAnsi="仿宋" w:cs="仿宋"/>
                <w:b/>
                <w:bCs/>
              </w:rPr>
              <w:t>项目负责人</w:t>
            </w:r>
          </w:p>
        </w:tc>
        <w:tc>
          <w:tcPr>
            <w:tcW w:w="2207" w:type="dxa"/>
            <w:vAlign w:val="center"/>
          </w:tcPr>
          <w:p>
            <w:pPr>
              <w:ind w:firstLine="0" w:firstLineChars="0"/>
              <w:jc w:val="center"/>
              <w:rPr>
                <w:rFonts w:ascii="仿宋" w:hAnsi="仿宋" w:cs="仿宋"/>
                <w:b/>
                <w:bCs/>
              </w:rPr>
            </w:pPr>
          </w:p>
        </w:tc>
        <w:tc>
          <w:tcPr>
            <w:tcW w:w="1238" w:type="dxa"/>
            <w:gridSpan w:val="2"/>
            <w:vAlign w:val="center"/>
          </w:tcPr>
          <w:p>
            <w:pPr>
              <w:ind w:firstLine="0" w:firstLineChars="0"/>
              <w:jc w:val="center"/>
              <w:rPr>
                <w:rFonts w:ascii="仿宋" w:hAnsi="仿宋" w:cs="仿宋"/>
                <w:b/>
                <w:bCs/>
              </w:rPr>
            </w:pPr>
            <w:r>
              <w:rPr>
                <w:rFonts w:hint="eastAsia" w:ascii="仿宋" w:hAnsi="仿宋" w:cs="仿宋"/>
                <w:b/>
                <w:bCs/>
              </w:rPr>
              <w:t>级别</w:t>
            </w:r>
          </w:p>
        </w:tc>
        <w:tc>
          <w:tcPr>
            <w:tcW w:w="1669" w:type="dxa"/>
            <w:vAlign w:val="center"/>
          </w:tcPr>
          <w:p>
            <w:pPr>
              <w:ind w:firstLine="0" w:firstLineChars="0"/>
              <w:jc w:val="center"/>
              <w:rPr>
                <w:rFonts w:ascii="仿宋" w:hAnsi="仿宋" w:cs="仿宋"/>
                <w:b/>
                <w:bCs/>
              </w:rPr>
            </w:pPr>
          </w:p>
        </w:tc>
        <w:tc>
          <w:tcPr>
            <w:tcW w:w="1237" w:type="dxa"/>
            <w:vAlign w:val="center"/>
          </w:tcPr>
          <w:p>
            <w:pPr>
              <w:ind w:firstLine="0" w:firstLineChars="0"/>
              <w:jc w:val="center"/>
              <w:rPr>
                <w:rFonts w:ascii="仿宋" w:hAnsi="仿宋" w:cs="仿宋"/>
                <w:b/>
                <w:bCs/>
              </w:rPr>
            </w:pPr>
            <w:r>
              <w:rPr>
                <w:rFonts w:hint="eastAsia" w:ascii="仿宋" w:hAnsi="仿宋" w:cs="仿宋"/>
                <w:b/>
                <w:bCs/>
              </w:rPr>
              <w:t>证书编号</w:t>
            </w:r>
          </w:p>
        </w:tc>
        <w:tc>
          <w:tcPr>
            <w:tcW w:w="1389" w:type="dxa"/>
            <w:vAlign w:val="center"/>
          </w:tcPr>
          <w:p>
            <w:pPr>
              <w:ind w:firstLine="0" w:firstLineChars="0"/>
              <w:jc w:val="center"/>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9320" w:type="dxa"/>
            <w:gridSpan w:val="7"/>
            <w:vAlign w:val="center"/>
          </w:tcPr>
          <w:p>
            <w:pPr>
              <w:ind w:firstLine="0" w:firstLineChars="0"/>
              <w:rPr>
                <w:rFonts w:ascii="仿宋" w:hAnsi="仿宋" w:cs="仿宋"/>
                <w:b/>
                <w:bCs/>
              </w:rPr>
            </w:pPr>
            <w:r>
              <w:rPr>
                <w:rFonts w:hint="eastAsia" w:ascii="仿宋" w:hAnsi="仿宋" w:cs="仿宋"/>
                <w:b/>
                <w:bCs/>
              </w:rPr>
              <w:t>最高投标限价（含税价）：单价不超过元</w:t>
            </w:r>
            <w:r>
              <w:rPr>
                <w:rFonts w:ascii="仿宋" w:hAnsi="仿宋" w:cs="仿宋"/>
                <w:b/>
                <w:bCs/>
              </w:rPr>
              <w:t>290</w:t>
            </w:r>
            <w:r>
              <w:rPr>
                <w:rFonts w:hint="eastAsia" w:ascii="仿宋" w:hAnsi="仿宋" w:cs="仿宋"/>
                <w:b/>
                <w:bCs/>
              </w:rPr>
              <w:t>/m。</w:t>
            </w:r>
          </w:p>
          <w:p>
            <w:pPr>
              <w:ind w:firstLine="0" w:firstLineChars="0"/>
              <w:rPr>
                <w:rFonts w:ascii="仿宋" w:hAnsi="仿宋" w:cs="仿宋"/>
                <w:b/>
                <w:bCs/>
              </w:rPr>
            </w:pPr>
            <w:r>
              <w:rPr>
                <w:rFonts w:hint="eastAsia" w:ascii="仿宋" w:hAnsi="仿宋" w:cs="仿宋"/>
                <w:b/>
                <w:bCs/>
              </w:rPr>
              <w:t>水、电费用投标人自理，本投标人完全认同招标文件的各项条款要求。</w:t>
            </w:r>
          </w:p>
        </w:tc>
      </w:tr>
    </w:tbl>
    <w:p>
      <w:pPr>
        <w:ind w:firstLine="482"/>
        <w:rPr>
          <w:rFonts w:ascii="仿宋" w:hAnsi="仿宋" w:cs="仿宋"/>
          <w:b/>
          <w:bCs/>
        </w:rPr>
      </w:pPr>
    </w:p>
    <w:p>
      <w:pPr>
        <w:ind w:firstLine="480"/>
        <w:rPr>
          <w:rFonts w:ascii="仿宋" w:hAnsi="仿宋" w:cs="仿宋"/>
        </w:rPr>
      </w:pPr>
    </w:p>
    <w:p>
      <w:pPr>
        <w:ind w:firstLine="482"/>
        <w:rPr>
          <w:rFonts w:ascii="仿宋" w:hAnsi="仿宋" w:cs="仿宋"/>
          <w:b/>
          <w:bCs/>
        </w:rPr>
      </w:pPr>
      <w:r>
        <w:rPr>
          <w:rFonts w:hint="eastAsia" w:ascii="仿宋" w:hAnsi="仿宋" w:cs="仿宋"/>
          <w:b/>
          <w:bCs/>
        </w:rPr>
        <w:t>投标人：</w:t>
      </w:r>
      <w:r>
        <w:rPr>
          <w:rFonts w:hint="eastAsia" w:ascii="仿宋" w:hAnsi="仿宋" w:cs="仿宋"/>
          <w:b/>
          <w:bCs/>
          <w:u w:val="single"/>
        </w:rPr>
        <w:t xml:space="preserve">                   </w:t>
      </w:r>
      <w:r>
        <w:rPr>
          <w:rFonts w:hint="eastAsia" w:ascii="仿宋" w:hAnsi="仿宋" w:cs="仿宋"/>
          <w:b/>
          <w:bCs/>
        </w:rPr>
        <w:t>（盖章）</w:t>
      </w:r>
    </w:p>
    <w:p>
      <w:pPr>
        <w:ind w:firstLine="482"/>
        <w:rPr>
          <w:rFonts w:ascii="仿宋" w:hAnsi="仿宋" w:cs="仿宋"/>
          <w:b/>
          <w:bCs/>
        </w:rPr>
      </w:pPr>
    </w:p>
    <w:p>
      <w:pPr>
        <w:tabs>
          <w:tab w:val="left" w:pos="3780"/>
        </w:tabs>
        <w:ind w:firstLine="482"/>
        <w:rPr>
          <w:rFonts w:ascii="仿宋" w:hAnsi="仿宋" w:cs="仿宋"/>
          <w:b/>
          <w:bCs/>
        </w:rPr>
      </w:pPr>
      <w:r>
        <w:rPr>
          <w:rFonts w:hint="eastAsia" w:ascii="仿宋" w:hAnsi="仿宋" w:cs="仿宋"/>
          <w:b/>
          <w:bCs/>
        </w:rPr>
        <w:t>法定代表人</w:t>
      </w:r>
      <w:r>
        <w:rPr>
          <w:rFonts w:hint="eastAsia" w:ascii="仿宋" w:hAnsi="仿宋" w:cs="仿宋"/>
          <w:b/>
        </w:rPr>
        <w:t>或授权代理人：</w:t>
      </w:r>
      <w:r>
        <w:rPr>
          <w:rFonts w:hint="eastAsia" w:ascii="仿宋" w:hAnsi="仿宋" w:cs="仿宋"/>
          <w:b/>
          <w:u w:val="single"/>
        </w:rPr>
        <w:t xml:space="preserve">         </w:t>
      </w:r>
      <w:r>
        <w:rPr>
          <w:rFonts w:hint="eastAsia" w:ascii="仿宋" w:hAnsi="仿宋" w:cs="仿宋"/>
          <w:b/>
        </w:rPr>
        <w:t>（签字或盖章）</w:t>
      </w:r>
      <w:r>
        <w:rPr>
          <w:rFonts w:hint="eastAsia" w:ascii="仿宋" w:hAnsi="仿宋" w:cs="仿宋"/>
          <w:b/>
          <w:bCs/>
        </w:rPr>
        <w:t xml:space="preserve">      </w:t>
      </w:r>
    </w:p>
    <w:p>
      <w:pPr>
        <w:tabs>
          <w:tab w:val="left" w:pos="3780"/>
        </w:tabs>
        <w:ind w:firstLine="482"/>
        <w:rPr>
          <w:rFonts w:ascii="仿宋" w:hAnsi="仿宋" w:cs="仿宋"/>
          <w:b/>
          <w:bCs/>
        </w:rPr>
      </w:pPr>
      <w:r>
        <w:rPr>
          <w:rFonts w:hint="eastAsia" w:ascii="仿宋" w:hAnsi="仿宋" w:cs="仿宋"/>
          <w:b/>
          <w:bCs/>
        </w:rPr>
        <w:t xml:space="preserve">                                                年    月    日</w:t>
      </w:r>
    </w:p>
    <w:p>
      <w:pPr>
        <w:ind w:firstLine="482"/>
        <w:rPr>
          <w:rFonts w:ascii="仿宋" w:hAnsi="仿宋" w:cs="仿宋"/>
          <w:b/>
          <w:bCs/>
        </w:rPr>
      </w:pPr>
      <w:r>
        <w:rPr>
          <w:rFonts w:hint="eastAsia" w:ascii="仿宋" w:hAnsi="仿宋" w:cs="仿宋"/>
          <w:b/>
          <w:bCs/>
        </w:rPr>
        <w:br w:type="page"/>
      </w:r>
    </w:p>
    <w:p>
      <w:pPr>
        <w:pStyle w:val="4"/>
        <w:spacing w:before="340" w:after="330" w:line="500" w:lineRule="exact"/>
        <w:jc w:val="center"/>
        <w:rPr>
          <w:rFonts w:ascii="仿宋" w:hAnsi="仿宋" w:cs="仿宋"/>
          <w:sz w:val="30"/>
          <w:szCs w:val="30"/>
        </w:rPr>
        <w:sectPr>
          <w:headerReference r:id="rId15" w:type="default"/>
          <w:footerReference r:id="rId16" w:type="default"/>
          <w:pgSz w:w="11906" w:h="16838"/>
          <w:pgMar w:top="1304" w:right="1304" w:bottom="1304" w:left="1304" w:header="851" w:footer="992" w:gutter="0"/>
          <w:cols w:space="720" w:num="1"/>
          <w:docGrid w:type="lines" w:linePitch="321" w:charSpace="0"/>
        </w:sectPr>
      </w:pPr>
      <w:bookmarkStart w:id="787" w:name="_Toc324423593"/>
      <w:bookmarkStart w:id="788" w:name="_Toc30952"/>
      <w:bookmarkStart w:id="789" w:name="_Toc12788"/>
      <w:bookmarkStart w:id="790" w:name="_Toc17735"/>
      <w:bookmarkStart w:id="791" w:name="_Toc7708"/>
      <w:bookmarkStart w:id="792" w:name="_Toc24350"/>
      <w:bookmarkStart w:id="793" w:name="_Toc324423592"/>
      <w:bookmarkStart w:id="794" w:name="_Toc257902073"/>
      <w:bookmarkStart w:id="795" w:name="_Toc12604"/>
    </w:p>
    <w:p>
      <w:pPr>
        <w:keepNext/>
        <w:keepLines/>
        <w:spacing w:line="500" w:lineRule="exact"/>
        <w:ind w:firstLine="602"/>
        <w:jc w:val="center"/>
        <w:rPr>
          <w:rFonts w:ascii="仿宋" w:hAnsi="仿宋" w:cs="仿宋"/>
          <w:b/>
          <w:bCs/>
          <w:sz w:val="30"/>
          <w:szCs w:val="30"/>
        </w:rPr>
      </w:pPr>
      <w:r>
        <w:rPr>
          <w:rFonts w:hint="eastAsia" w:ascii="仿宋" w:hAnsi="仿宋" w:cs="仿宋"/>
          <w:b/>
          <w:bCs/>
          <w:sz w:val="30"/>
          <w:szCs w:val="30"/>
        </w:rPr>
        <w:t>六、</w:t>
      </w:r>
      <w:bookmarkEnd w:id="787"/>
      <w:bookmarkEnd w:id="788"/>
      <w:bookmarkEnd w:id="789"/>
      <w:bookmarkEnd w:id="790"/>
      <w:bookmarkEnd w:id="791"/>
      <w:bookmarkEnd w:id="792"/>
      <w:r>
        <w:rPr>
          <w:rFonts w:hint="eastAsia" w:ascii="仿宋" w:hAnsi="仿宋" w:cs="仿宋"/>
          <w:b/>
          <w:bCs/>
          <w:sz w:val="30"/>
          <w:szCs w:val="30"/>
        </w:rPr>
        <w:t>投标人业绩</w:t>
      </w:r>
    </w:p>
    <w:p>
      <w:pPr>
        <w:spacing w:line="500" w:lineRule="exact"/>
        <w:ind w:firstLine="562"/>
        <w:rPr>
          <w:rFonts w:ascii="仿宋" w:hAnsi="仿宋" w:cs="仿宋"/>
          <w:b/>
          <w:sz w:val="28"/>
          <w:szCs w:val="28"/>
        </w:rPr>
      </w:pPr>
      <w:r>
        <w:rPr>
          <w:rFonts w:hint="eastAsia" w:ascii="仿宋" w:hAnsi="仿宋" w:cs="仿宋"/>
          <w:b/>
          <w:sz w:val="28"/>
          <w:szCs w:val="28"/>
        </w:rPr>
        <w:t>企业近三年（2019年1月1日至今）完成过的类似业绩</w:t>
      </w:r>
    </w:p>
    <w:tbl>
      <w:tblPr>
        <w:tblStyle w:val="16"/>
        <w:tblW w:w="96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6"/>
        <w:gridCol w:w="5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826" w:type="dxa"/>
            <w:vAlign w:val="center"/>
          </w:tcPr>
          <w:p>
            <w:pPr>
              <w:pStyle w:val="32"/>
              <w:rPr>
                <w:rFonts w:hint="default"/>
              </w:rPr>
            </w:pPr>
            <w:r>
              <w:t>项目名称</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826" w:type="dxa"/>
            <w:vAlign w:val="center"/>
          </w:tcPr>
          <w:p>
            <w:pPr>
              <w:pStyle w:val="32"/>
              <w:rPr>
                <w:rFonts w:hint="default"/>
              </w:rPr>
            </w:pPr>
            <w:r>
              <w:t>项目所在地</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826" w:type="dxa"/>
            <w:vAlign w:val="center"/>
          </w:tcPr>
          <w:p>
            <w:pPr>
              <w:pStyle w:val="32"/>
              <w:rPr>
                <w:rFonts w:hint="default"/>
              </w:rPr>
            </w:pPr>
            <w:r>
              <w:t>甲方名称</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826" w:type="dxa"/>
            <w:vAlign w:val="center"/>
          </w:tcPr>
          <w:p>
            <w:pPr>
              <w:pStyle w:val="32"/>
              <w:rPr>
                <w:rFonts w:hint="default"/>
              </w:rPr>
            </w:pPr>
            <w:r>
              <w:t>甲方地址</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826" w:type="dxa"/>
            <w:vAlign w:val="center"/>
          </w:tcPr>
          <w:p>
            <w:pPr>
              <w:pStyle w:val="32"/>
              <w:rPr>
                <w:rFonts w:hint="default"/>
              </w:rPr>
            </w:pPr>
            <w:r>
              <w:t>甲方电话</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826" w:type="dxa"/>
            <w:vAlign w:val="center"/>
          </w:tcPr>
          <w:p>
            <w:pPr>
              <w:pStyle w:val="32"/>
              <w:rPr>
                <w:rFonts w:hint="default"/>
              </w:rPr>
            </w:pPr>
            <w:r>
              <w:t>签约合同价</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826" w:type="dxa"/>
            <w:vAlign w:val="center"/>
          </w:tcPr>
          <w:p>
            <w:pPr>
              <w:pStyle w:val="32"/>
              <w:rPr>
                <w:rFonts w:hint="default"/>
              </w:rPr>
            </w:pPr>
            <w:r>
              <w:t>开工日期</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826" w:type="dxa"/>
            <w:vAlign w:val="center"/>
          </w:tcPr>
          <w:p>
            <w:pPr>
              <w:pStyle w:val="32"/>
              <w:rPr>
                <w:rFonts w:hint="default"/>
              </w:rPr>
            </w:pPr>
            <w:r>
              <w:t>计划竣工日期</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826" w:type="dxa"/>
            <w:vAlign w:val="center"/>
          </w:tcPr>
          <w:p>
            <w:pPr>
              <w:pStyle w:val="32"/>
              <w:rPr>
                <w:rFonts w:hint="default"/>
              </w:rPr>
            </w:pPr>
            <w:r>
              <w:t>承担的工作</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826" w:type="dxa"/>
            <w:vAlign w:val="center"/>
          </w:tcPr>
          <w:p>
            <w:pPr>
              <w:pStyle w:val="32"/>
              <w:rPr>
                <w:rFonts w:hint="default"/>
              </w:rPr>
            </w:pPr>
            <w:r>
              <w:t>工程质量</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826" w:type="dxa"/>
            <w:vAlign w:val="center"/>
          </w:tcPr>
          <w:p>
            <w:pPr>
              <w:pStyle w:val="32"/>
              <w:rPr>
                <w:rFonts w:hint="default"/>
              </w:rPr>
            </w:pPr>
            <w:r>
              <w:t>项目负责人</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3826" w:type="dxa"/>
            <w:vAlign w:val="center"/>
          </w:tcPr>
          <w:p>
            <w:pPr>
              <w:pStyle w:val="32"/>
              <w:rPr>
                <w:rFonts w:hint="default"/>
              </w:rPr>
            </w:pPr>
            <w:r>
              <w:t>项目描述</w:t>
            </w:r>
          </w:p>
        </w:tc>
        <w:tc>
          <w:tcPr>
            <w:tcW w:w="5789" w:type="dxa"/>
          </w:tcPr>
          <w:p>
            <w:pPr>
              <w:pStyle w:val="3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826" w:type="dxa"/>
            <w:vAlign w:val="center"/>
          </w:tcPr>
          <w:p>
            <w:pPr>
              <w:pStyle w:val="32"/>
              <w:rPr>
                <w:rFonts w:hint="default"/>
              </w:rPr>
            </w:pPr>
            <w:r>
              <w:t>备注</w:t>
            </w:r>
          </w:p>
        </w:tc>
        <w:tc>
          <w:tcPr>
            <w:tcW w:w="5789" w:type="dxa"/>
          </w:tcPr>
          <w:p>
            <w:pPr>
              <w:pStyle w:val="32"/>
              <w:rPr>
                <w:rFonts w:hint="default"/>
              </w:rPr>
            </w:pPr>
          </w:p>
        </w:tc>
      </w:tr>
    </w:tbl>
    <w:p>
      <w:pPr>
        <w:ind w:firstLine="480"/>
        <w:rPr>
          <w:rFonts w:ascii="仿宋" w:hAnsi="仿宋" w:cs="仿宋"/>
        </w:rPr>
      </w:pPr>
    </w:p>
    <w:p>
      <w:pPr>
        <w:ind w:firstLine="480"/>
      </w:pPr>
      <w:r>
        <w:rPr>
          <w:rFonts w:hint="eastAsia"/>
        </w:rPr>
        <w:t>注：需提供合同原件的扫描件</w:t>
      </w:r>
      <w:bookmarkEnd w:id="793"/>
      <w:bookmarkEnd w:id="794"/>
      <w:bookmarkEnd w:id="795"/>
    </w:p>
    <w:p>
      <w:pPr>
        <w:ind w:firstLine="480"/>
      </w:pPr>
      <w:r>
        <w:br w:type="page"/>
      </w:r>
    </w:p>
    <w:p>
      <w:pPr>
        <w:ind w:firstLine="0" w:firstLineChars="0"/>
        <w:jc w:val="center"/>
        <w:rPr>
          <w:rFonts w:ascii="仿宋" w:hAnsi="仿宋" w:cs="仿宋"/>
          <w:b/>
          <w:bCs/>
          <w:sz w:val="30"/>
          <w:szCs w:val="30"/>
        </w:rPr>
      </w:pPr>
      <w:r>
        <w:rPr>
          <w:rFonts w:hint="eastAsia" w:ascii="仿宋" w:hAnsi="仿宋" w:cs="仿宋"/>
          <w:b/>
          <w:bCs/>
          <w:sz w:val="30"/>
          <w:szCs w:val="30"/>
        </w:rPr>
        <w:t>七、安全生产保障措施</w:t>
      </w:r>
    </w:p>
    <w:p>
      <w:pPr>
        <w:ind w:firstLine="480"/>
      </w:pPr>
    </w:p>
    <w:sectPr>
      <w:pgSz w:w="11906" w:h="16838"/>
      <w:pgMar w:top="1304" w:right="1304" w:bottom="1304" w:left="1304" w:header="851" w:footer="992" w:gutter="0"/>
      <w:cols w:space="720" w:num="1"/>
      <w:docGrid w:type="lines" w:linePitch="32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1"/>
      </w:pBdr>
      <w:ind w:firstLine="0" w:firstLineChars="0"/>
      <w:rPr>
        <w:bdr w:val="single" w:color="auto" w:sz="4" w:space="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49"/>
        <w:tab w:val="clear" w:pos="4153"/>
      </w:tabs>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4465"/>
              <wp:effectExtent l="0" t="0" r="0" b="0"/>
              <wp:wrapNone/>
              <wp:docPr id="3" name="矩形 3"/>
              <wp:cNvGraphicFramePr/>
              <a:graphic xmlns:a="http://schemas.openxmlformats.org/drawingml/2006/main">
                <a:graphicData uri="http://schemas.microsoft.com/office/word/2010/wordprocessingShape">
                  <wps:wsp>
                    <wps:cNvSpPr/>
                    <wps:spPr>
                      <a:xfrm>
                        <a:off x="0" y="0"/>
                        <a:ext cx="114935" cy="164465"/>
                      </a:xfrm>
                      <a:prstGeom prst="rect">
                        <a:avLst/>
                      </a:prstGeom>
                      <a:noFill/>
                      <a:ln>
                        <a:noFill/>
                      </a:ln>
                      <a:effectLst/>
                    </wps:spPr>
                    <wps:txbx>
                      <w:txbxContent>
                        <w:p>
                          <w:pPr>
                            <w:ind w:firstLine="480"/>
                          </w:pPr>
                        </w:p>
                      </w:txbxContent>
                    </wps:txbx>
                    <wps:bodyPr wrap="none" lIns="0" tIns="0" rIns="0" bIns="0" upright="1">
                      <a:spAutoFit/>
                    </wps:bodyPr>
                  </wps:wsp>
                </a:graphicData>
              </a:graphic>
            </wp:anchor>
          </w:drawing>
        </mc:Choice>
        <mc:Fallback>
          <w:pict>
            <v:rect id="_x0000_s1026" o:spid="_x0000_s1026" o:spt="1" style="position:absolute;left:0pt;margin-top:0pt;height:12.95pt;width:9.05pt;mso-position-horizontal:center;mso-position-horizontal-relative:margin;mso-wrap-style:none;z-index:251659264;mso-width-relative:page;mso-height-relative:page;" filled="f" stroked="f" coordsize="21600,21600" o:gfxdata="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15JX3RAAAAAwEAAA8AAAAAAAAAAQAgAAAAIgAAAGRycy9kb3ducmV2&#10;LnhtbFBLAQIUABQAAAAIAIdO4kAtHvUQygEAAJgDAAAOAAAAAAAAAAEAIAAAACABAABkcnMvZTJv&#10;RG9jLnhtbFBLBQYAAAAABgAGAFkBAABcBQAAAAA=&#10;">
              <v:fill on="f" focussize="0,0"/>
              <v:stroke on="f"/>
              <v:imagedata o:title=""/>
              <o:lock v:ext="edit" aspectratio="f"/>
              <v:textbox inset="0mm,0mm,0mm,0mm" style="mso-fit-shape-to-text:t;">
                <w:txbxContent>
                  <w:p>
                    <w:pPr>
                      <w:ind w:firstLine="480"/>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49"/>
        <w:tab w:val="clear" w:pos="4153"/>
      </w:tabs>
      <w:ind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333375" cy="180975"/>
              <wp:effectExtent l="0" t="0" r="0" b="0"/>
              <wp:wrapNone/>
              <wp:docPr id="4" name="文本框 7"/>
              <wp:cNvGraphicFramePr/>
              <a:graphic xmlns:a="http://schemas.openxmlformats.org/drawingml/2006/main">
                <a:graphicData uri="http://schemas.microsoft.com/office/word/2010/wordprocessingShape">
                  <wps:wsp>
                    <wps:cNvSpPr txBox="1"/>
                    <wps:spPr>
                      <a:xfrm>
                        <a:off x="0" y="0"/>
                        <a:ext cx="333375" cy="180975"/>
                      </a:xfrm>
                      <a:prstGeom prst="rect">
                        <a:avLst/>
                      </a:prstGeom>
                      <a:noFill/>
                      <a:ln>
                        <a:noFill/>
                      </a:ln>
                    </wps:spPr>
                    <wps:txbx>
                      <w:txbxContent>
                        <w:p>
                          <w:pPr>
                            <w:pStyle w:val="10"/>
                            <w:ind w:firstLine="360"/>
                          </w:pPr>
                          <w:r>
                            <w:fldChar w:fldCharType="begin"/>
                          </w:r>
                          <w:r>
                            <w:instrText xml:space="preserve"> PAGE  \* MERGEFORMAT </w:instrText>
                          </w:r>
                          <w:r>
                            <w:fldChar w:fldCharType="separate"/>
                          </w:r>
                          <w:r>
                            <w:t>17</w:t>
                          </w:r>
                          <w:r>
                            <w:fldChar w:fldCharType="end"/>
                          </w:r>
                        </w:p>
                      </w:txbxContent>
                    </wps:txbx>
                    <wps:bodyPr lIns="0" tIns="0" rIns="0" bIns="0" upright="1"/>
                  </wps:wsp>
                </a:graphicData>
              </a:graphic>
            </wp:anchor>
          </w:drawing>
        </mc:Choice>
        <mc:Fallback>
          <w:pict>
            <v:shape id="文本框 7" o:spid="_x0000_s1026" o:spt="202" type="#_x0000_t202" style="position:absolute;left:0pt;margin-top:0pt;height:14.25pt;width:26.25pt;mso-position-horizontal:center;mso-position-horizontal-relative:margin;z-index:251665408;mso-width-relative:page;mso-height-relative:page;" filled="f" stroked="f" coordsize="21600,21600" o:gfxdata="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sREhJ1AAAAAMBAAAPAAAAAAAAAAEAIAAAACIAAABkcnMvZG93bnJldi54bWxQSwECFAAUAAAA&#10;CACHTuJAhzQeSbkBAABxAwAADgAAAAAAAAABACAAAAAjAQAAZHJzL2Uyb0RvYy54bWxQSwUGAAAA&#10;AAYABgBZAQAATgUAAAAA&#10;">
              <v:fill on="f" focussize="0,0"/>
              <v:stroke on="f"/>
              <v:imagedata o:title=""/>
              <o:lock v:ext="edit" aspectratio="f"/>
              <v:textbox inset="0mm,0mm,0mm,0mm">
                <w:txbxContent>
                  <w:p>
                    <w:pPr>
                      <w:pStyle w:val="10"/>
                      <w:ind w:firstLine="360"/>
                    </w:pPr>
                    <w:r>
                      <w:fldChar w:fldCharType="begin"/>
                    </w:r>
                    <w:r>
                      <w:instrText xml:space="preserve"> PAGE  \* MERGEFORMAT </w:instrText>
                    </w:r>
                    <w:r>
                      <w:fldChar w:fldCharType="separate"/>
                    </w:r>
                    <w:r>
                      <w:t>17</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2724785</wp:posOffset>
              </wp:positionH>
              <wp:positionV relativeFrom="paragraph">
                <wp:posOffset>3810</wp:posOffset>
              </wp:positionV>
              <wp:extent cx="457200" cy="180975"/>
              <wp:effectExtent l="0" t="0" r="0" b="0"/>
              <wp:wrapNone/>
              <wp:docPr id="7" name="矩形 7"/>
              <wp:cNvGraphicFramePr/>
              <a:graphic xmlns:a="http://schemas.openxmlformats.org/drawingml/2006/main">
                <a:graphicData uri="http://schemas.microsoft.com/office/word/2010/wordprocessingShape">
                  <wps:wsp>
                    <wps:cNvSpPr/>
                    <wps:spPr>
                      <a:xfrm>
                        <a:off x="0" y="0"/>
                        <a:ext cx="457200" cy="180975"/>
                      </a:xfrm>
                      <a:prstGeom prst="rect">
                        <a:avLst/>
                      </a:prstGeom>
                      <a:noFill/>
                      <a:ln>
                        <a:noFill/>
                      </a:ln>
                      <a:effectLst/>
                    </wps:spPr>
                    <wps:txbx>
                      <w:txbxContent>
                        <w:p>
                          <w:pPr>
                            <w:ind w:firstLine="480"/>
                          </w:pPr>
                        </w:p>
                      </w:txbxContent>
                    </wps:txbx>
                    <wps:bodyPr wrap="square" lIns="0" tIns="0" rIns="0" bIns="0" upright="1">
                      <a:noAutofit/>
                    </wps:bodyPr>
                  </wps:wsp>
                </a:graphicData>
              </a:graphic>
            </wp:anchor>
          </w:drawing>
        </mc:Choice>
        <mc:Fallback>
          <w:pict>
            <v:rect id="_x0000_s1026" o:spid="_x0000_s1026" o:spt="1" style="position:absolute;left:0pt;margin-left:214.55pt;margin-top:0.3pt;height:14.25pt;width:36pt;mso-position-horizontal-relative:margin;z-index:251663360;mso-width-relative:page;mso-height-relative:page;" filled="f" stroked="f" coordsize="21600,21600" o:gfxdata="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hBW59UAAAAHAQAADwAAAAAAAAABACAAAAAiAAAAZHJzL2Rv&#10;d25yZXYueG1sUEsBAhQAFAAAAAgAh07iQD48bCDLAQAAmgMAAA4AAAAAAAAAAQAgAAAAJAEAAGRy&#10;cy9lMm9Eb2MueG1sUEsFBgAAAAAGAAYAWQEAAGEFAAAAAA==&#10;">
              <v:fill on="f" focussize="0,0"/>
              <v:stroke on="f"/>
              <v:imagedata o:title=""/>
              <o:lock v:ext="edit" aspectratio="f"/>
              <v:textbox inset="0mm,0mm,0mm,0mm">
                <w:txbxContent>
                  <w:p>
                    <w:pPr>
                      <w:ind w:firstLine="480"/>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49"/>
        <w:tab w:val="clear" w:pos="4153"/>
      </w:tabs>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firstLine="360"/>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64465"/>
              <wp:effectExtent l="0" t="0" r="0" b="0"/>
              <wp:wrapNone/>
              <wp:docPr id="12" name="矩形 12"/>
              <wp:cNvGraphicFramePr/>
              <a:graphic xmlns:a="http://schemas.openxmlformats.org/drawingml/2006/main">
                <a:graphicData uri="http://schemas.microsoft.com/office/word/2010/wordprocessingShape">
                  <wps:wsp>
                    <wps:cNvSpPr/>
                    <wps:spPr>
                      <a:xfrm>
                        <a:off x="0" y="0"/>
                        <a:ext cx="114935" cy="164465"/>
                      </a:xfrm>
                      <a:prstGeom prst="rect">
                        <a:avLst/>
                      </a:prstGeom>
                      <a:noFill/>
                      <a:ln>
                        <a:noFill/>
                      </a:ln>
                      <a:effectLst/>
                    </wps:spPr>
                    <wps:txbx>
                      <w:txbxContent>
                        <w:p>
                          <w:pPr>
                            <w:ind w:firstLine="480"/>
                          </w:pPr>
                        </w:p>
                      </w:txbxContent>
                    </wps:txbx>
                    <wps:bodyPr wrap="none" lIns="0" tIns="0" rIns="0" bIns="0" upright="1">
                      <a:spAutoFit/>
                    </wps:bodyPr>
                  </wps:wsp>
                </a:graphicData>
              </a:graphic>
            </wp:anchor>
          </w:drawing>
        </mc:Choice>
        <mc:Fallback>
          <w:pict>
            <v:rect id="_x0000_s1026" o:spid="_x0000_s1026" o:spt="1" style="position:absolute;left:0pt;margin-top:0pt;height:12.95pt;width:9.05pt;mso-position-horizontal:center;mso-position-horizontal-relative:margin;mso-wrap-style:none;z-index:251660288;mso-width-relative:page;mso-height-relative:page;" filled="f" stroked="f" coordsize="21600,21600" o:gfxdata="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9eSV90QAAAAMBAAAPAAAAAAAAAAEAIAAAACIAAABkcnMvZG93bnJl&#10;di54bWxQSwECFAAUAAAACACHTuJA4LhPhMsBAACaAwAADgAAAAAAAAABACAAAAAgAQAAZHJzL2Uy&#10;b0RvYy54bWxQSwUGAAAAAAYABgBZAQAAXQUAAAAA&#10;">
              <v:fill on="f" focussize="0,0"/>
              <v:stroke on="f"/>
              <v:imagedata o:title=""/>
              <o:lock v:ext="edit" aspectratio="f"/>
              <v:textbox inset="0mm,0mm,0mm,0mm" style="mso-fit-shape-to-text:t;">
                <w:txbxContent>
                  <w:p>
                    <w:pPr>
                      <w:ind w:firstLine="480"/>
                    </w:pPr>
                  </w:p>
                </w:txbxContent>
              </v:textbox>
            </v:rect>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firstLine="360"/>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0" w:firstLineChars="0"/>
      <w:rPr>
        <w:rFonts w:ascii="宋体" w:hAnsi="宋体"/>
        <w:spacing w:val="-10"/>
      </w:rPr>
    </w:pPr>
    <w:r>
      <w:rPr>
        <w:rFonts w:hint="eastAsia" w:ascii="宋体" w:hAnsi="宋体"/>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2965"/>
      </w:tabs>
      <w:ind w:firstLine="360"/>
      <w:jc w:val="left"/>
    </w:pPr>
    <w:r>
      <w:rPr>
        <w:rFonts w:hint="eastAsia"/>
      </w:rPr>
      <w:tab/>
    </w: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4B6A8"/>
    <w:multiLevelType w:val="singleLevel"/>
    <w:tmpl w:val="58E4B6A8"/>
    <w:lvl w:ilvl="0" w:tentative="0">
      <w:start w:val="1"/>
      <w:numFmt w:val="chineseCounting"/>
      <w:suff w:val="nothing"/>
      <w:lvlText w:val="%1、"/>
      <w:lvlJc w:val="left"/>
      <w:pPr>
        <w:ind w:left="-140"/>
      </w:pPr>
    </w:lvl>
  </w:abstractNum>
  <w:abstractNum w:abstractNumId="1">
    <w:nsid w:val="58FD658A"/>
    <w:multiLevelType w:val="singleLevel"/>
    <w:tmpl w:val="58FD658A"/>
    <w:lvl w:ilvl="0" w:tentative="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NDIwODQzMjkwNWIwYjM2ZTVhN2E5YTYxZmJmYjQifQ=="/>
  </w:docVars>
  <w:rsids>
    <w:rsidRoot w:val="008C25D0"/>
    <w:rsid w:val="00002346"/>
    <w:rsid w:val="00027D83"/>
    <w:rsid w:val="00036992"/>
    <w:rsid w:val="00053552"/>
    <w:rsid w:val="00067D2E"/>
    <w:rsid w:val="0007783E"/>
    <w:rsid w:val="000A18B4"/>
    <w:rsid w:val="000C4838"/>
    <w:rsid w:val="000D57C3"/>
    <w:rsid w:val="000E27BB"/>
    <w:rsid w:val="00103633"/>
    <w:rsid w:val="001132A4"/>
    <w:rsid w:val="00161AC5"/>
    <w:rsid w:val="00163B2A"/>
    <w:rsid w:val="001705C0"/>
    <w:rsid w:val="0017388E"/>
    <w:rsid w:val="001C0F56"/>
    <w:rsid w:val="001C1EDB"/>
    <w:rsid w:val="001E749A"/>
    <w:rsid w:val="002136DA"/>
    <w:rsid w:val="002312B6"/>
    <w:rsid w:val="00260B70"/>
    <w:rsid w:val="002622AD"/>
    <w:rsid w:val="002B0A08"/>
    <w:rsid w:val="002E71FD"/>
    <w:rsid w:val="002F2EFC"/>
    <w:rsid w:val="00331B59"/>
    <w:rsid w:val="00331F84"/>
    <w:rsid w:val="00332F27"/>
    <w:rsid w:val="00335B56"/>
    <w:rsid w:val="003A787B"/>
    <w:rsid w:val="003C11B8"/>
    <w:rsid w:val="003D0028"/>
    <w:rsid w:val="003D0B86"/>
    <w:rsid w:val="004175E9"/>
    <w:rsid w:val="00420D54"/>
    <w:rsid w:val="00441B7B"/>
    <w:rsid w:val="004508F7"/>
    <w:rsid w:val="00463559"/>
    <w:rsid w:val="00495AFC"/>
    <w:rsid w:val="004A7EB8"/>
    <w:rsid w:val="004B6757"/>
    <w:rsid w:val="004D02CC"/>
    <w:rsid w:val="004E2347"/>
    <w:rsid w:val="004E5EA7"/>
    <w:rsid w:val="004F1BA5"/>
    <w:rsid w:val="005054A0"/>
    <w:rsid w:val="00527B69"/>
    <w:rsid w:val="0053025B"/>
    <w:rsid w:val="0055189A"/>
    <w:rsid w:val="00574162"/>
    <w:rsid w:val="00597826"/>
    <w:rsid w:val="00626EE5"/>
    <w:rsid w:val="00646935"/>
    <w:rsid w:val="0066177E"/>
    <w:rsid w:val="006801E6"/>
    <w:rsid w:val="00695473"/>
    <w:rsid w:val="006B27EA"/>
    <w:rsid w:val="006F298C"/>
    <w:rsid w:val="007135D9"/>
    <w:rsid w:val="00731242"/>
    <w:rsid w:val="00733CF3"/>
    <w:rsid w:val="00741529"/>
    <w:rsid w:val="007558C8"/>
    <w:rsid w:val="00776A09"/>
    <w:rsid w:val="00783829"/>
    <w:rsid w:val="00784C3B"/>
    <w:rsid w:val="007923EA"/>
    <w:rsid w:val="007B4A41"/>
    <w:rsid w:val="007C3DA1"/>
    <w:rsid w:val="007F3EA6"/>
    <w:rsid w:val="00821633"/>
    <w:rsid w:val="00826986"/>
    <w:rsid w:val="00836DA0"/>
    <w:rsid w:val="0085571F"/>
    <w:rsid w:val="00867BE7"/>
    <w:rsid w:val="008C25D0"/>
    <w:rsid w:val="008D7515"/>
    <w:rsid w:val="008E172C"/>
    <w:rsid w:val="008E53EE"/>
    <w:rsid w:val="00901997"/>
    <w:rsid w:val="0090729D"/>
    <w:rsid w:val="009107D8"/>
    <w:rsid w:val="00925207"/>
    <w:rsid w:val="009537CD"/>
    <w:rsid w:val="00961608"/>
    <w:rsid w:val="00964CCA"/>
    <w:rsid w:val="0096510F"/>
    <w:rsid w:val="0098647F"/>
    <w:rsid w:val="009A0CC2"/>
    <w:rsid w:val="009A1153"/>
    <w:rsid w:val="009D6005"/>
    <w:rsid w:val="00A201CE"/>
    <w:rsid w:val="00A205C8"/>
    <w:rsid w:val="00A33AE0"/>
    <w:rsid w:val="00A5153F"/>
    <w:rsid w:val="00A54265"/>
    <w:rsid w:val="00A54B4B"/>
    <w:rsid w:val="00A63546"/>
    <w:rsid w:val="00A72680"/>
    <w:rsid w:val="00A83669"/>
    <w:rsid w:val="00A85271"/>
    <w:rsid w:val="00AF17D9"/>
    <w:rsid w:val="00B15B93"/>
    <w:rsid w:val="00B21616"/>
    <w:rsid w:val="00B30197"/>
    <w:rsid w:val="00B43333"/>
    <w:rsid w:val="00BB20E6"/>
    <w:rsid w:val="00BB600A"/>
    <w:rsid w:val="00BF78A3"/>
    <w:rsid w:val="00C71596"/>
    <w:rsid w:val="00C82E3F"/>
    <w:rsid w:val="00CD5A87"/>
    <w:rsid w:val="00CF76B0"/>
    <w:rsid w:val="00D24974"/>
    <w:rsid w:val="00D341C1"/>
    <w:rsid w:val="00D358C5"/>
    <w:rsid w:val="00D434EB"/>
    <w:rsid w:val="00D57B69"/>
    <w:rsid w:val="00D61B1C"/>
    <w:rsid w:val="00D90FA0"/>
    <w:rsid w:val="00D96387"/>
    <w:rsid w:val="00DB3135"/>
    <w:rsid w:val="00DB65A8"/>
    <w:rsid w:val="00DD0424"/>
    <w:rsid w:val="00DE008F"/>
    <w:rsid w:val="00E03AED"/>
    <w:rsid w:val="00E1785E"/>
    <w:rsid w:val="00E41B37"/>
    <w:rsid w:val="00E45D02"/>
    <w:rsid w:val="00E61281"/>
    <w:rsid w:val="00E612E8"/>
    <w:rsid w:val="00E63AF2"/>
    <w:rsid w:val="00E81F4C"/>
    <w:rsid w:val="00EC0162"/>
    <w:rsid w:val="00EC3CFA"/>
    <w:rsid w:val="00F0223F"/>
    <w:rsid w:val="00F06720"/>
    <w:rsid w:val="00F21D93"/>
    <w:rsid w:val="00F25538"/>
    <w:rsid w:val="00F30664"/>
    <w:rsid w:val="00F30A11"/>
    <w:rsid w:val="00F35694"/>
    <w:rsid w:val="00F36277"/>
    <w:rsid w:val="00F40D82"/>
    <w:rsid w:val="00F67E95"/>
    <w:rsid w:val="00FD3603"/>
    <w:rsid w:val="00FE6184"/>
    <w:rsid w:val="00FF5095"/>
    <w:rsid w:val="0101575B"/>
    <w:rsid w:val="018C0929"/>
    <w:rsid w:val="021A142E"/>
    <w:rsid w:val="021A682B"/>
    <w:rsid w:val="02955319"/>
    <w:rsid w:val="03045CCF"/>
    <w:rsid w:val="035C7B0B"/>
    <w:rsid w:val="03AD6B3B"/>
    <w:rsid w:val="03D42559"/>
    <w:rsid w:val="0438326E"/>
    <w:rsid w:val="04697CC2"/>
    <w:rsid w:val="060E5CA4"/>
    <w:rsid w:val="06454E50"/>
    <w:rsid w:val="06740B7E"/>
    <w:rsid w:val="067A5E19"/>
    <w:rsid w:val="069D39AB"/>
    <w:rsid w:val="069F0A43"/>
    <w:rsid w:val="0917336B"/>
    <w:rsid w:val="092F3DEF"/>
    <w:rsid w:val="09862E1C"/>
    <w:rsid w:val="0D0D55EC"/>
    <w:rsid w:val="0E664FCA"/>
    <w:rsid w:val="0F545EE7"/>
    <w:rsid w:val="0FA056A2"/>
    <w:rsid w:val="106400EC"/>
    <w:rsid w:val="10B36757"/>
    <w:rsid w:val="11430EC2"/>
    <w:rsid w:val="122136E2"/>
    <w:rsid w:val="12466B05"/>
    <w:rsid w:val="12D559AE"/>
    <w:rsid w:val="130C5378"/>
    <w:rsid w:val="135E2714"/>
    <w:rsid w:val="13737F6D"/>
    <w:rsid w:val="13A43307"/>
    <w:rsid w:val="14DE0216"/>
    <w:rsid w:val="15E21104"/>
    <w:rsid w:val="16EB25B6"/>
    <w:rsid w:val="16EC4A31"/>
    <w:rsid w:val="16F41C61"/>
    <w:rsid w:val="1738335E"/>
    <w:rsid w:val="17457E73"/>
    <w:rsid w:val="174D5B5E"/>
    <w:rsid w:val="17BA64DB"/>
    <w:rsid w:val="18380EB7"/>
    <w:rsid w:val="18973708"/>
    <w:rsid w:val="197922E8"/>
    <w:rsid w:val="1ACD2659"/>
    <w:rsid w:val="1ADD6614"/>
    <w:rsid w:val="1B174035"/>
    <w:rsid w:val="1BE6331E"/>
    <w:rsid w:val="1C141762"/>
    <w:rsid w:val="1C2D02CE"/>
    <w:rsid w:val="1D645CC7"/>
    <w:rsid w:val="1E7B1219"/>
    <w:rsid w:val="1F405FA8"/>
    <w:rsid w:val="1F8D56AC"/>
    <w:rsid w:val="1FA03EF2"/>
    <w:rsid w:val="215E1097"/>
    <w:rsid w:val="21642CA7"/>
    <w:rsid w:val="21ED35E0"/>
    <w:rsid w:val="22A2616D"/>
    <w:rsid w:val="25341293"/>
    <w:rsid w:val="25346694"/>
    <w:rsid w:val="253C1E79"/>
    <w:rsid w:val="25483FDA"/>
    <w:rsid w:val="262E5F76"/>
    <w:rsid w:val="26EA7578"/>
    <w:rsid w:val="26ED07A5"/>
    <w:rsid w:val="271668D7"/>
    <w:rsid w:val="276A2CE2"/>
    <w:rsid w:val="277F7CD3"/>
    <w:rsid w:val="283C7070"/>
    <w:rsid w:val="28526A04"/>
    <w:rsid w:val="28EC3BD0"/>
    <w:rsid w:val="29660E4B"/>
    <w:rsid w:val="2A90047E"/>
    <w:rsid w:val="2D021D14"/>
    <w:rsid w:val="2D391652"/>
    <w:rsid w:val="2E5549E7"/>
    <w:rsid w:val="2E8877CF"/>
    <w:rsid w:val="2FE907EA"/>
    <w:rsid w:val="2FFA3814"/>
    <w:rsid w:val="30A82681"/>
    <w:rsid w:val="333472C1"/>
    <w:rsid w:val="3479200D"/>
    <w:rsid w:val="34D15E0D"/>
    <w:rsid w:val="35523A78"/>
    <w:rsid w:val="35DC559D"/>
    <w:rsid w:val="389812A0"/>
    <w:rsid w:val="3A8A1F23"/>
    <w:rsid w:val="3ADE5C5A"/>
    <w:rsid w:val="3AFB2BFB"/>
    <w:rsid w:val="3AFD5B9F"/>
    <w:rsid w:val="3B020707"/>
    <w:rsid w:val="3B096234"/>
    <w:rsid w:val="3B4467E9"/>
    <w:rsid w:val="3B5907B0"/>
    <w:rsid w:val="3BC74522"/>
    <w:rsid w:val="3BFF4506"/>
    <w:rsid w:val="3C2E3C5F"/>
    <w:rsid w:val="3CB732CC"/>
    <w:rsid w:val="3D754F33"/>
    <w:rsid w:val="3D7706E7"/>
    <w:rsid w:val="3DA35AEA"/>
    <w:rsid w:val="3E173A67"/>
    <w:rsid w:val="3E3806A8"/>
    <w:rsid w:val="3E647032"/>
    <w:rsid w:val="3EAF5A95"/>
    <w:rsid w:val="3EBD3091"/>
    <w:rsid w:val="3F781499"/>
    <w:rsid w:val="40117097"/>
    <w:rsid w:val="40247C3E"/>
    <w:rsid w:val="403B3496"/>
    <w:rsid w:val="40405F44"/>
    <w:rsid w:val="404A79D0"/>
    <w:rsid w:val="404B7437"/>
    <w:rsid w:val="425A0E01"/>
    <w:rsid w:val="42635A89"/>
    <w:rsid w:val="428A2091"/>
    <w:rsid w:val="42EF0A38"/>
    <w:rsid w:val="43567B36"/>
    <w:rsid w:val="43E715B7"/>
    <w:rsid w:val="450C7945"/>
    <w:rsid w:val="47A619B8"/>
    <w:rsid w:val="47C42459"/>
    <w:rsid w:val="48671600"/>
    <w:rsid w:val="48ED5C41"/>
    <w:rsid w:val="4910657E"/>
    <w:rsid w:val="4A0F5F3A"/>
    <w:rsid w:val="4A243300"/>
    <w:rsid w:val="4A2D63EE"/>
    <w:rsid w:val="4A4C3F42"/>
    <w:rsid w:val="4AE83552"/>
    <w:rsid w:val="4AF21290"/>
    <w:rsid w:val="4AF945E4"/>
    <w:rsid w:val="4B202CE0"/>
    <w:rsid w:val="4B540CA0"/>
    <w:rsid w:val="4BF0307A"/>
    <w:rsid w:val="4BF83930"/>
    <w:rsid w:val="4C07165A"/>
    <w:rsid w:val="4D214B6D"/>
    <w:rsid w:val="4DFB66BF"/>
    <w:rsid w:val="4EF65ED8"/>
    <w:rsid w:val="4FB50019"/>
    <w:rsid w:val="50AC44E3"/>
    <w:rsid w:val="51102A51"/>
    <w:rsid w:val="51386473"/>
    <w:rsid w:val="51E751D7"/>
    <w:rsid w:val="51F85506"/>
    <w:rsid w:val="52CA0C50"/>
    <w:rsid w:val="54F26C32"/>
    <w:rsid w:val="55482ADB"/>
    <w:rsid w:val="55AC6ECE"/>
    <w:rsid w:val="5610633A"/>
    <w:rsid w:val="56D94A9F"/>
    <w:rsid w:val="56F143B2"/>
    <w:rsid w:val="57907AC0"/>
    <w:rsid w:val="57C838C9"/>
    <w:rsid w:val="580366B8"/>
    <w:rsid w:val="5842572D"/>
    <w:rsid w:val="590243AA"/>
    <w:rsid w:val="591A2206"/>
    <w:rsid w:val="591C67AA"/>
    <w:rsid w:val="59617D35"/>
    <w:rsid w:val="596D2D22"/>
    <w:rsid w:val="59827DCD"/>
    <w:rsid w:val="5A2365BC"/>
    <w:rsid w:val="5A2E496A"/>
    <w:rsid w:val="5ABC4E77"/>
    <w:rsid w:val="5AE91577"/>
    <w:rsid w:val="5B11760A"/>
    <w:rsid w:val="5B1F1D55"/>
    <w:rsid w:val="5B361C6C"/>
    <w:rsid w:val="5BE22323"/>
    <w:rsid w:val="5C221AFD"/>
    <w:rsid w:val="5CB60F59"/>
    <w:rsid w:val="5D804126"/>
    <w:rsid w:val="5DD65765"/>
    <w:rsid w:val="5E1D6510"/>
    <w:rsid w:val="5E3B36E2"/>
    <w:rsid w:val="5F6D248A"/>
    <w:rsid w:val="5FAC1AB9"/>
    <w:rsid w:val="5FEB0FA6"/>
    <w:rsid w:val="602C2F4B"/>
    <w:rsid w:val="60747F1B"/>
    <w:rsid w:val="610F59A8"/>
    <w:rsid w:val="61190304"/>
    <w:rsid w:val="61204B29"/>
    <w:rsid w:val="6207767F"/>
    <w:rsid w:val="63AF3952"/>
    <w:rsid w:val="643E5BEA"/>
    <w:rsid w:val="64B12E94"/>
    <w:rsid w:val="64C355AA"/>
    <w:rsid w:val="64C729AF"/>
    <w:rsid w:val="64F33B29"/>
    <w:rsid w:val="6561508F"/>
    <w:rsid w:val="65887E73"/>
    <w:rsid w:val="66506635"/>
    <w:rsid w:val="66684636"/>
    <w:rsid w:val="66A12257"/>
    <w:rsid w:val="67156BFB"/>
    <w:rsid w:val="678E3736"/>
    <w:rsid w:val="698266C7"/>
    <w:rsid w:val="699C425E"/>
    <w:rsid w:val="6A7E3C26"/>
    <w:rsid w:val="6B623CC4"/>
    <w:rsid w:val="6CF90658"/>
    <w:rsid w:val="6EF14FC6"/>
    <w:rsid w:val="6FB37179"/>
    <w:rsid w:val="701833D8"/>
    <w:rsid w:val="705D75FB"/>
    <w:rsid w:val="70EB02B8"/>
    <w:rsid w:val="71191FF7"/>
    <w:rsid w:val="714859D6"/>
    <w:rsid w:val="72EB0A43"/>
    <w:rsid w:val="735F5C8D"/>
    <w:rsid w:val="73FB16F4"/>
    <w:rsid w:val="74FA65E6"/>
    <w:rsid w:val="752F4E6A"/>
    <w:rsid w:val="769A1321"/>
    <w:rsid w:val="76FA74A7"/>
    <w:rsid w:val="77130569"/>
    <w:rsid w:val="77F0668A"/>
    <w:rsid w:val="78BC442C"/>
    <w:rsid w:val="792F3D90"/>
    <w:rsid w:val="79543160"/>
    <w:rsid w:val="7AEE2DEB"/>
    <w:rsid w:val="7B0A1017"/>
    <w:rsid w:val="7B821C56"/>
    <w:rsid w:val="7BAF2633"/>
    <w:rsid w:val="7BEC15ED"/>
    <w:rsid w:val="7D7F6B9B"/>
    <w:rsid w:val="7D9D3A60"/>
    <w:rsid w:val="7E19389D"/>
    <w:rsid w:val="7E7B73E6"/>
    <w:rsid w:val="7F6406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3" w:firstLineChars="200"/>
    </w:pPr>
    <w:rPr>
      <w:rFonts w:ascii="Times New Roman" w:hAnsi="Times New Roman" w:eastAsia="仿宋" w:cs="Times New Roman"/>
      <w:kern w:val="2"/>
      <w:sz w:val="24"/>
      <w:szCs w:val="22"/>
      <w:lang w:val="en-US" w:eastAsia="zh-CN" w:bidi="ar-SA"/>
    </w:rPr>
  </w:style>
  <w:style w:type="paragraph" w:styleId="3">
    <w:name w:val="heading 1"/>
    <w:basedOn w:val="1"/>
    <w:next w:val="1"/>
    <w:qFormat/>
    <w:uiPriority w:val="0"/>
    <w:pPr>
      <w:keepNext/>
      <w:keepLines/>
      <w:spacing w:before="200" w:after="200" w:line="240" w:lineRule="auto"/>
      <w:ind w:firstLine="0" w:firstLineChars="0"/>
      <w:jc w:val="center"/>
      <w:outlineLvl w:val="0"/>
    </w:pPr>
    <w:rPr>
      <w:b/>
      <w:bCs/>
      <w:kern w:val="44"/>
      <w:sz w:val="32"/>
      <w:szCs w:val="44"/>
    </w:rPr>
  </w:style>
  <w:style w:type="paragraph" w:styleId="4">
    <w:name w:val="heading 2"/>
    <w:basedOn w:val="1"/>
    <w:next w:val="1"/>
    <w:qFormat/>
    <w:uiPriority w:val="99"/>
    <w:pPr>
      <w:keepNext/>
      <w:keepLines/>
      <w:ind w:firstLine="0" w:firstLineChars="0"/>
      <w:outlineLvl w:val="1"/>
    </w:pPr>
    <w:rPr>
      <w:b/>
      <w:bCs/>
      <w:sz w:val="28"/>
      <w:szCs w:val="32"/>
    </w:rPr>
  </w:style>
  <w:style w:type="paragraph" w:styleId="2">
    <w:name w:val="heading 3"/>
    <w:basedOn w:val="1"/>
    <w:next w:val="1"/>
    <w:qFormat/>
    <w:uiPriority w:val="99"/>
    <w:pPr>
      <w:keepNext/>
      <w:keepLines/>
      <w:outlineLvl w:val="2"/>
    </w:pPr>
    <w:rPr>
      <w:b/>
      <w:bCs/>
      <w:kern w:val="0"/>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4"/>
    </w:rPr>
  </w:style>
  <w:style w:type="paragraph" w:styleId="6">
    <w:name w:val="Document Map"/>
    <w:basedOn w:val="1"/>
    <w:link w:val="31"/>
    <w:qFormat/>
    <w:uiPriority w:val="0"/>
    <w:rPr>
      <w:rFonts w:ascii="宋体"/>
      <w:sz w:val="18"/>
      <w:szCs w:val="18"/>
    </w:rPr>
  </w:style>
  <w:style w:type="paragraph" w:styleId="7">
    <w:name w:val="toa heading"/>
    <w:basedOn w:val="1"/>
    <w:next w:val="1"/>
    <w:qFormat/>
    <w:uiPriority w:val="0"/>
    <w:pPr>
      <w:spacing w:before="120"/>
    </w:pPr>
    <w:rPr>
      <w:rFonts w:ascii="Arial" w:hAnsi="Arial"/>
      <w:szCs w:val="20"/>
    </w:rPr>
  </w:style>
  <w:style w:type="paragraph" w:styleId="8">
    <w:name w:val="annotation text"/>
    <w:basedOn w:val="1"/>
    <w:link w:val="30"/>
    <w:qFormat/>
    <w:uiPriority w:val="0"/>
  </w:style>
  <w:style w:type="paragraph" w:styleId="9">
    <w:name w:val="Body Text Indent"/>
    <w:basedOn w:val="1"/>
    <w:next w:val="1"/>
    <w:qFormat/>
    <w:uiPriority w:val="0"/>
    <w:pPr>
      <w:spacing w:after="120"/>
      <w:ind w:left="420" w:leftChars="200"/>
    </w:pPr>
    <w:rPr>
      <w:szCs w:val="24"/>
    </w:rPr>
  </w:style>
  <w:style w:type="paragraph" w:styleId="10">
    <w:name w:val="footer"/>
    <w:basedOn w:val="1"/>
    <w:qFormat/>
    <w:uiPriority w:val="99"/>
    <w:pPr>
      <w:tabs>
        <w:tab w:val="center" w:pos="4153"/>
        <w:tab w:val="right" w:pos="8306"/>
      </w:tabs>
      <w:snapToGrid w:val="0"/>
    </w:pPr>
    <w:rPr>
      <w:kern w:val="0"/>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style>
  <w:style w:type="paragraph" w:styleId="13">
    <w:name w:val="toc 2"/>
    <w:basedOn w:val="1"/>
    <w:next w:val="1"/>
    <w:uiPriority w:val="39"/>
    <w:pPr>
      <w:ind w:left="420" w:leftChars="200"/>
    </w:pPr>
  </w:style>
  <w:style w:type="paragraph" w:styleId="14">
    <w:name w:val="Title"/>
    <w:basedOn w:val="1"/>
    <w:next w:val="1"/>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15">
    <w:name w:val="Body Text First Indent 2"/>
    <w:basedOn w:val="9"/>
    <w:qFormat/>
    <w:uiPriority w:val="0"/>
    <w:pPr>
      <w:ind w:firstLine="420"/>
    </w:pPr>
  </w:style>
  <w:style w:type="table" w:styleId="17">
    <w:name w:val="Table Grid"/>
    <w:basedOn w:val="1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99"/>
    <w:rPr>
      <w:color w:val="0000FF"/>
      <w:u w:val="single"/>
    </w:rPr>
  </w:style>
  <w:style w:type="paragraph" w:customStyle="1" w:styleId="20">
    <w:name w:val="正文文字"/>
    <w:basedOn w:val="1"/>
    <w:qFormat/>
    <w:uiPriority w:val="0"/>
    <w:pPr>
      <w:spacing w:line="480" w:lineRule="exact"/>
      <w:ind w:firstLine="200"/>
    </w:pPr>
    <w:rPr>
      <w:sz w:val="28"/>
      <w:szCs w:val="24"/>
    </w:rPr>
  </w:style>
  <w:style w:type="paragraph" w:customStyle="1" w:styleId="21">
    <w:name w:val="_Style 7"/>
    <w:basedOn w:val="3"/>
    <w:next w:val="1"/>
    <w:qFormat/>
    <w:uiPriority w:val="39"/>
    <w:pPr>
      <w:outlineLvl w:val="9"/>
    </w:pPr>
    <w:rPr>
      <w:rFonts w:ascii="Calibri" w:hAnsi="Calibri" w:cs="Calibri"/>
    </w:rPr>
  </w:style>
  <w:style w:type="paragraph" w:customStyle="1" w:styleId="22">
    <w:name w:val="报告正文"/>
    <w:basedOn w:val="1"/>
    <w:qFormat/>
    <w:uiPriority w:val="0"/>
    <w:pPr>
      <w:suppressAutoHyphens/>
      <w:spacing w:line="360" w:lineRule="atLeast"/>
      <w:ind w:firstLine="480"/>
    </w:pPr>
    <w:rPr>
      <w:szCs w:val="24"/>
    </w:rPr>
  </w:style>
  <w:style w:type="paragraph" w:customStyle="1" w:styleId="23">
    <w:name w:val="正文1"/>
    <w:basedOn w:val="24"/>
    <w:qFormat/>
    <w:uiPriority w:val="0"/>
    <w:rPr>
      <w:rFonts w:ascii="Times New Roman" w:hAnsi="Times New Roman" w:eastAsia="Times New Roman"/>
      <w:szCs w:val="20"/>
    </w:rPr>
  </w:style>
  <w:style w:type="paragraph" w:customStyle="1" w:styleId="24">
    <w:name w:val="[Normal]"/>
    <w:qFormat/>
    <w:uiPriority w:val="0"/>
    <w:pPr>
      <w:widowControl w:val="0"/>
    </w:pPr>
    <w:rPr>
      <w:rFonts w:ascii="宋体" w:hAnsi="宋体" w:eastAsia="宋体" w:cs="Times New Roman"/>
      <w:sz w:val="24"/>
      <w:szCs w:val="22"/>
      <w:lang w:val="zh-CN" w:eastAsia="zh-CN" w:bidi="ar-SA"/>
    </w:rPr>
  </w:style>
  <w:style w:type="paragraph" w:customStyle="1" w:styleId="25">
    <w:name w:val="纯文本2"/>
    <w:basedOn w:val="23"/>
    <w:qFormat/>
    <w:uiPriority w:val="0"/>
    <w:rPr>
      <w:rFonts w:ascii="宋体" w:hAnsi="宋体"/>
    </w:rPr>
  </w:style>
  <w:style w:type="paragraph" w:customStyle="1" w:styleId="26">
    <w:name w:val="页眉1"/>
    <w:basedOn w:val="23"/>
    <w:qFormat/>
    <w:uiPriority w:val="0"/>
    <w:pPr>
      <w:pBdr>
        <w:bottom w:val="single" w:color="auto" w:sz="6" w:space="1"/>
      </w:pBdr>
      <w:tabs>
        <w:tab w:val="center" w:pos="4153"/>
        <w:tab w:val="right" w:pos="8306"/>
      </w:tabs>
      <w:jc w:val="center"/>
    </w:pPr>
    <w:rPr>
      <w:sz w:val="18"/>
    </w:rPr>
  </w:style>
  <w:style w:type="character" w:customStyle="1" w:styleId="27">
    <w:name w:val="font41"/>
    <w:basedOn w:val="18"/>
    <w:qFormat/>
    <w:uiPriority w:val="0"/>
    <w:rPr>
      <w:rFonts w:ascii="Arial" w:hAnsi="Arial" w:cs="Arial"/>
      <w:b/>
      <w:color w:val="000000"/>
      <w:sz w:val="21"/>
      <w:szCs w:val="21"/>
      <w:u w:val="none"/>
    </w:rPr>
  </w:style>
  <w:style w:type="character" w:customStyle="1" w:styleId="28">
    <w:name w:val="font11"/>
    <w:basedOn w:val="18"/>
    <w:qFormat/>
    <w:uiPriority w:val="0"/>
    <w:rPr>
      <w:rFonts w:hint="eastAsia" w:ascii="仿宋" w:hAnsi="仿宋" w:eastAsia="仿宋" w:cs="仿宋"/>
      <w:b/>
      <w:color w:val="000000"/>
      <w:sz w:val="21"/>
      <w:szCs w:val="21"/>
      <w:u w:val="single"/>
    </w:rPr>
  </w:style>
  <w:style w:type="character" w:customStyle="1" w:styleId="29">
    <w:name w:val="font21"/>
    <w:basedOn w:val="18"/>
    <w:qFormat/>
    <w:uiPriority w:val="0"/>
    <w:rPr>
      <w:rFonts w:hint="eastAsia" w:ascii="仿宋" w:hAnsi="仿宋" w:eastAsia="仿宋" w:cs="仿宋"/>
      <w:b/>
      <w:color w:val="000000"/>
      <w:sz w:val="21"/>
      <w:szCs w:val="21"/>
      <w:u w:val="none"/>
    </w:rPr>
  </w:style>
  <w:style w:type="character" w:customStyle="1" w:styleId="30">
    <w:name w:val="批注文字 字符"/>
    <w:basedOn w:val="18"/>
    <w:link w:val="8"/>
    <w:uiPriority w:val="0"/>
    <w:rPr>
      <w:rFonts w:ascii="Times New Roman" w:hAnsi="Times New Roman" w:eastAsia="宋体" w:cs="Times New Roman"/>
      <w:kern w:val="2"/>
      <w:sz w:val="21"/>
      <w:szCs w:val="22"/>
    </w:rPr>
  </w:style>
  <w:style w:type="character" w:customStyle="1" w:styleId="31">
    <w:name w:val="文档结构图 字符"/>
    <w:basedOn w:val="18"/>
    <w:link w:val="6"/>
    <w:qFormat/>
    <w:uiPriority w:val="0"/>
    <w:rPr>
      <w:rFonts w:ascii="宋体" w:hAnsi="Times New Roman" w:eastAsia="宋体" w:cs="Times New Roman"/>
      <w:kern w:val="2"/>
      <w:sz w:val="18"/>
      <w:szCs w:val="18"/>
    </w:rPr>
  </w:style>
  <w:style w:type="paragraph" w:customStyle="1" w:styleId="32">
    <w:name w:val="表格内容"/>
    <w:basedOn w:val="1"/>
    <w:next w:val="1"/>
    <w:qFormat/>
    <w:uiPriority w:val="0"/>
    <w:pPr>
      <w:spacing w:line="240" w:lineRule="auto"/>
      <w:ind w:firstLine="0" w:firstLineChars="0"/>
      <w:jc w:val="center"/>
    </w:pPr>
    <w:rPr>
      <w:rFonts w:hint="eastAsia"/>
      <w:bCs/>
      <w:kern w:val="0"/>
      <w:szCs w:val="28"/>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1730AA-2604-4854-99B3-55D33EBD8F7E}">
  <ds:schemaRefs/>
</ds:datastoreItem>
</file>

<file path=docProps/app.xml><?xml version="1.0" encoding="utf-8"?>
<Properties xmlns="http://schemas.openxmlformats.org/officeDocument/2006/extended-properties" xmlns:vt="http://schemas.openxmlformats.org/officeDocument/2006/docPropsVTypes">
  <Template>Normal.dotm</Template>
  <Company>内蒙古自治区第十地质矿产勘查开发院</Company>
  <Pages>29</Pages>
  <Words>9834</Words>
  <Characters>10598</Characters>
  <Lines>101</Lines>
  <Paragraphs>28</Paragraphs>
  <TotalTime>85</TotalTime>
  <ScaleCrop>false</ScaleCrop>
  <LinksUpToDate>false</LinksUpToDate>
  <CharactersWithSpaces>11807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2021-02-20T07:34:00Z</dcterms:created>
  <dc:creator>Ansimon</dc:creator>
  <cp:lastModifiedBy>晓慈</cp:lastModifiedBy>
  <cp:lastPrinted>2022-04-29T01:16:00Z</cp:lastPrinted>
  <dcterms:modified xsi:type="dcterms:W3CDTF">2023-06-19T08:42:15Z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29AFBB9C5F3E43AA8E1D04EFD189FB0E_13</vt:lpwstr>
  </property>
</Properties>
</file>